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numPr>
          <w:ilvl w:val="0"/>
          <w:numId w:val="1"/>
        </w:numPr>
        <w:jc w:val="center"/>
        <w:rPr>
          <w:rFonts w:hint="eastAsia" w:ascii="宋体" w:hAnsi="宋体" w:eastAsia="宋体" w:cs="宋体"/>
          <w:color w:val="auto"/>
          <w:highlight w:val="none"/>
        </w:rPr>
      </w:pPr>
      <w:bookmarkStart w:id="0" w:name="_Toc152042375"/>
      <w:bookmarkStart w:id="1" w:name="_Toc144974565"/>
      <w:bookmarkStart w:id="2" w:name="_Toc152045598"/>
      <w:bookmarkStart w:id="3" w:name="_Toc29545"/>
      <w:bookmarkStart w:id="4" w:name="_Toc247514022"/>
      <w:bookmarkStart w:id="5" w:name="_Toc247527623"/>
      <w:r>
        <w:rPr>
          <w:rFonts w:hint="eastAsia" w:ascii="宋体" w:hAnsi="宋体" w:eastAsia="宋体" w:cs="宋体"/>
          <w:color w:val="auto"/>
          <w:highlight w:val="none"/>
        </w:rPr>
        <w:t>评标办法（综合评分法）</w:t>
      </w:r>
      <w:bookmarkEnd w:id="0"/>
      <w:bookmarkEnd w:id="1"/>
      <w:bookmarkEnd w:id="2"/>
      <w:bookmarkEnd w:id="3"/>
      <w:bookmarkEnd w:id="4"/>
      <w:bookmarkEnd w:id="5"/>
    </w:p>
    <w:p>
      <w:pPr>
        <w:pStyle w:val="2"/>
        <w:jc w:val="center"/>
        <w:rPr>
          <w:rFonts w:hint="eastAsia" w:ascii="宋体" w:hAnsi="宋体" w:eastAsia="宋体" w:cs="宋体"/>
          <w:color w:val="auto"/>
          <w:highlight w:val="none"/>
        </w:rPr>
      </w:pPr>
      <w:bookmarkStart w:id="6" w:name="_Toc152042376"/>
      <w:bookmarkStart w:id="7" w:name="_Toc9949"/>
      <w:bookmarkStart w:id="8" w:name="_Toc247527624"/>
      <w:bookmarkStart w:id="9" w:name="_Toc13923470"/>
      <w:bookmarkStart w:id="10" w:name="_Toc144974566"/>
      <w:bookmarkStart w:id="11" w:name="_Toc152045599"/>
      <w:bookmarkStart w:id="12" w:name="_Toc247514023"/>
      <w:r>
        <w:rPr>
          <w:rFonts w:hint="eastAsia" w:ascii="宋体" w:hAnsi="宋体" w:eastAsia="宋体" w:cs="宋体"/>
          <w:color w:val="auto"/>
          <w:highlight w:val="none"/>
        </w:rPr>
        <w:t>评标办法前附表</w:t>
      </w:r>
      <w:bookmarkEnd w:id="6"/>
      <w:bookmarkEnd w:id="7"/>
      <w:bookmarkEnd w:id="8"/>
      <w:bookmarkEnd w:id="9"/>
      <w:bookmarkEnd w:id="10"/>
      <w:bookmarkEnd w:id="11"/>
      <w:bookmarkEnd w:id="12"/>
    </w:p>
    <w:p>
      <w:pPr>
        <w:pStyle w:val="4"/>
        <w:rPr>
          <w:rFonts w:hint="eastAsia" w:ascii="宋体" w:hAnsi="宋体" w:eastAsia="宋体" w:cs="宋体"/>
          <w:color w:val="auto"/>
          <w:highlight w:val="none"/>
          <w:lang w:val="en-US" w:eastAsia="zh-CN"/>
        </w:rPr>
      </w:pPr>
      <w:bookmarkStart w:id="13" w:name="_Toc30462"/>
      <w:r>
        <w:rPr>
          <w:rFonts w:hint="eastAsia" w:ascii="宋体" w:hAnsi="宋体" w:eastAsia="宋体" w:cs="宋体"/>
          <w:color w:val="auto"/>
          <w:highlight w:val="none"/>
          <w:lang w:eastAsia="zh-CN"/>
        </w:rPr>
        <w:t>表</w:t>
      </w:r>
      <w:r>
        <w:rPr>
          <w:rFonts w:hint="eastAsia" w:ascii="宋体" w:hAnsi="宋体" w:eastAsia="宋体" w:cs="宋体"/>
          <w:color w:val="auto"/>
          <w:highlight w:val="none"/>
          <w:lang w:val="en-US" w:eastAsia="zh-CN"/>
        </w:rPr>
        <w:t>A</w:t>
      </w:r>
      <w:bookmarkEnd w:id="13"/>
    </w:p>
    <w:tbl>
      <w:tblPr>
        <w:tblStyle w:val="9"/>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44"/>
        <w:gridCol w:w="1162"/>
        <w:gridCol w:w="696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4" w:hRule="atLeast"/>
          <w:tblHeader/>
          <w:jc w:val="center"/>
        </w:trPr>
        <w:tc>
          <w:tcPr>
            <w:tcW w:w="2106" w:type="dxa"/>
            <w:gridSpan w:val="2"/>
            <w:noWrap w:val="0"/>
            <w:vAlign w:val="center"/>
          </w:tcPr>
          <w:p>
            <w:pPr>
              <w:adjustRightInd w:val="0"/>
              <w:snapToGrid w:val="0"/>
              <w:jc w:val="center"/>
              <w:rPr>
                <w:rFonts w:hint="eastAsia" w:ascii="宋体" w:hAnsi="宋体" w:eastAsia="宋体" w:cs="宋体"/>
                <w:b/>
                <w:color w:val="auto"/>
                <w:szCs w:val="21"/>
                <w:highlight w:val="none"/>
              </w:rPr>
            </w:pPr>
            <w:r>
              <w:rPr>
                <w:rFonts w:hint="eastAsia" w:ascii="宋体" w:hAnsi="宋体" w:eastAsia="宋体" w:cs="宋体"/>
                <w:b/>
                <w:color w:val="auto"/>
                <w:sz w:val="22"/>
                <w:szCs w:val="21"/>
                <w:highlight w:val="none"/>
              </w:rPr>
              <w:t>条款号</w:t>
            </w:r>
          </w:p>
        </w:tc>
        <w:tc>
          <w:tcPr>
            <w:tcW w:w="6966" w:type="dxa"/>
            <w:noWrap w:val="0"/>
            <w:vAlign w:val="center"/>
          </w:tcPr>
          <w:p>
            <w:pPr>
              <w:adjustRightInd w:val="0"/>
              <w:snapToGrid w:val="0"/>
              <w:jc w:val="center"/>
              <w:rPr>
                <w:rFonts w:hint="eastAsia" w:ascii="宋体" w:hAnsi="宋体" w:eastAsia="宋体" w:cs="宋体"/>
                <w:b/>
                <w:color w:val="auto"/>
                <w:szCs w:val="21"/>
                <w:highlight w:val="none"/>
              </w:rPr>
            </w:pPr>
            <w:r>
              <w:rPr>
                <w:rFonts w:hint="eastAsia" w:ascii="宋体" w:hAnsi="宋体" w:eastAsia="宋体" w:cs="宋体"/>
                <w:b/>
                <w:color w:val="auto"/>
                <w:w w:val="99"/>
                <w:sz w:val="22"/>
                <w:szCs w:val="21"/>
                <w:highlight w:val="none"/>
              </w:rPr>
              <w:t>评审因素和</w:t>
            </w:r>
            <w:r>
              <w:rPr>
                <w:rFonts w:hint="eastAsia" w:ascii="宋体" w:hAnsi="宋体" w:eastAsia="宋体" w:cs="宋体"/>
                <w:b/>
                <w:color w:val="auto"/>
                <w:sz w:val="22"/>
                <w:szCs w:val="21"/>
                <w:highlight w:val="none"/>
              </w:rPr>
              <w:t>评审标准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944" w:type="dxa"/>
            <w:noWrap w:val="0"/>
            <w:vAlign w:val="center"/>
          </w:tcPr>
          <w:p>
            <w:pPr>
              <w:spacing w:line="440" w:lineRule="exact"/>
              <w:jc w:val="center"/>
              <w:rPr>
                <w:rFonts w:hint="eastAsia" w:ascii="宋体" w:hAnsi="宋体" w:eastAsia="宋体" w:cs="宋体"/>
                <w:color w:val="auto"/>
                <w:w w:val="99"/>
                <w:sz w:val="22"/>
                <w:szCs w:val="21"/>
                <w:highlight w:val="none"/>
              </w:rPr>
            </w:pPr>
            <w:r>
              <w:rPr>
                <w:rFonts w:hint="eastAsia" w:ascii="宋体" w:hAnsi="宋体" w:eastAsia="宋体" w:cs="宋体"/>
                <w:color w:val="auto"/>
                <w:sz w:val="22"/>
                <w:szCs w:val="22"/>
                <w:highlight w:val="none"/>
              </w:rPr>
              <w:t>1</w:t>
            </w:r>
          </w:p>
        </w:tc>
        <w:tc>
          <w:tcPr>
            <w:tcW w:w="1162" w:type="dxa"/>
            <w:noWrap w:val="0"/>
            <w:vAlign w:val="center"/>
          </w:tcPr>
          <w:p>
            <w:pPr>
              <w:jc w:val="center"/>
              <w:rPr>
                <w:rFonts w:hint="eastAsia" w:ascii="宋体" w:hAnsi="宋体" w:eastAsia="宋体" w:cs="宋体"/>
                <w:color w:val="auto"/>
                <w:sz w:val="22"/>
                <w:szCs w:val="21"/>
                <w:highlight w:val="none"/>
              </w:rPr>
            </w:pPr>
            <w:r>
              <w:rPr>
                <w:rFonts w:hint="eastAsia" w:ascii="宋体" w:hAnsi="宋体" w:eastAsia="宋体" w:cs="宋体"/>
                <w:color w:val="auto"/>
                <w:sz w:val="22"/>
                <w:szCs w:val="22"/>
                <w:highlight w:val="none"/>
              </w:rPr>
              <w:t>评标方法</w:t>
            </w:r>
          </w:p>
        </w:tc>
        <w:tc>
          <w:tcPr>
            <w:tcW w:w="6966" w:type="dxa"/>
            <w:noWrap w:val="0"/>
            <w:vAlign w:val="center"/>
          </w:tcPr>
          <w:p>
            <w:pPr>
              <w:spacing w:line="276"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评标委员会按综合得分由高到低顺序推荐中标候选人，得分相等时，评标委员会依次按照以下优先顺序推荐中标候选人：</w:t>
            </w:r>
          </w:p>
          <w:p>
            <w:pPr>
              <w:numPr>
                <w:ilvl w:val="0"/>
                <w:numId w:val="2"/>
              </w:numPr>
              <w:spacing w:line="276"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评标价低的投标人优先；</w:t>
            </w:r>
          </w:p>
          <w:p>
            <w:pPr>
              <w:numPr>
                <w:ilvl w:val="0"/>
                <w:numId w:val="2"/>
              </w:numPr>
              <w:spacing w:line="276"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1"/>
                <w:highlight w:val="none"/>
              </w:rPr>
              <w:t>第一个信封商务及技术文件得分高的优先；</w:t>
            </w:r>
          </w:p>
          <w:p>
            <w:pPr>
              <w:spacing w:line="276"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w:t>
            </w:r>
            <w:r>
              <w:rPr>
                <w:rFonts w:hint="eastAsia" w:ascii="宋体" w:hAnsi="宋体" w:eastAsia="宋体" w:cs="宋体"/>
                <w:color w:val="auto"/>
                <w:sz w:val="22"/>
                <w:szCs w:val="21"/>
                <w:highlight w:val="none"/>
              </w:rPr>
              <w:t>投标文件递交时间早的优先。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944" w:type="dxa"/>
            <w:vMerge w:val="restart"/>
            <w:noWrap w:val="0"/>
            <w:vAlign w:val="center"/>
          </w:tcPr>
          <w:p>
            <w:pPr>
              <w:adjustRightInd w:val="0"/>
              <w:snapToGrid w:val="0"/>
              <w:spacing w:line="288" w:lineRule="auto"/>
              <w:jc w:val="center"/>
              <w:rPr>
                <w:rFonts w:hint="eastAsia" w:ascii="宋体" w:hAnsi="宋体" w:eastAsia="宋体" w:cs="宋体"/>
                <w:color w:val="auto"/>
                <w:w w:val="99"/>
                <w:sz w:val="22"/>
                <w:szCs w:val="21"/>
                <w:highlight w:val="none"/>
              </w:rPr>
            </w:pPr>
            <w:r>
              <w:rPr>
                <w:rFonts w:hint="eastAsia" w:ascii="宋体" w:hAnsi="宋体" w:eastAsia="宋体" w:cs="宋体"/>
                <w:color w:val="auto"/>
                <w:w w:val="99"/>
                <w:sz w:val="22"/>
                <w:szCs w:val="21"/>
                <w:highlight w:val="none"/>
              </w:rPr>
              <w:t>2.1.1</w:t>
            </w:r>
          </w:p>
          <w:p>
            <w:pPr>
              <w:adjustRightInd w:val="0"/>
              <w:snapToGrid w:val="0"/>
              <w:spacing w:line="288" w:lineRule="auto"/>
              <w:jc w:val="center"/>
              <w:rPr>
                <w:rFonts w:hint="eastAsia" w:ascii="宋体" w:hAnsi="宋体" w:eastAsia="宋体" w:cs="宋体"/>
                <w:color w:val="auto"/>
                <w:w w:val="99"/>
                <w:szCs w:val="21"/>
                <w:highlight w:val="none"/>
              </w:rPr>
            </w:pPr>
            <w:r>
              <w:rPr>
                <w:rFonts w:hint="eastAsia" w:ascii="宋体" w:hAnsi="宋体" w:eastAsia="宋体" w:cs="宋体"/>
                <w:color w:val="auto"/>
                <w:w w:val="99"/>
                <w:sz w:val="22"/>
                <w:szCs w:val="21"/>
                <w:highlight w:val="none"/>
              </w:rPr>
              <w:t>2.1.3</w:t>
            </w:r>
          </w:p>
        </w:tc>
        <w:tc>
          <w:tcPr>
            <w:tcW w:w="1162" w:type="dxa"/>
            <w:vMerge w:val="restart"/>
            <w:noWrap w:val="0"/>
            <w:vAlign w:val="center"/>
          </w:tcPr>
          <w:p>
            <w:pPr>
              <w:adjustRightInd w:val="0"/>
              <w:snapToGrid w:val="0"/>
              <w:spacing w:line="288" w:lineRule="auto"/>
              <w:jc w:val="center"/>
              <w:rPr>
                <w:rFonts w:hint="eastAsia" w:ascii="宋体" w:hAnsi="宋体" w:eastAsia="宋体" w:cs="宋体"/>
                <w:color w:val="auto"/>
                <w:szCs w:val="21"/>
                <w:highlight w:val="none"/>
              </w:rPr>
            </w:pPr>
            <w:r>
              <w:rPr>
                <w:rFonts w:hint="eastAsia" w:ascii="宋体" w:hAnsi="宋体" w:eastAsia="宋体" w:cs="宋体"/>
                <w:color w:val="auto"/>
                <w:sz w:val="22"/>
                <w:szCs w:val="21"/>
                <w:highlight w:val="none"/>
              </w:rPr>
              <w:t>形式评审与响应性评审标准</w:t>
            </w:r>
          </w:p>
        </w:tc>
        <w:tc>
          <w:tcPr>
            <w:tcW w:w="6966" w:type="dxa"/>
            <w:noWrap w:val="0"/>
            <w:vAlign w:val="center"/>
          </w:tcPr>
          <w:p>
            <w:pPr>
              <w:adjustRightInd w:val="0"/>
              <w:snapToGrid w:val="0"/>
              <w:spacing w:line="288" w:lineRule="auto"/>
              <w:rPr>
                <w:rFonts w:hint="eastAsia" w:ascii="宋体" w:hAnsi="宋体" w:eastAsia="宋体" w:cs="宋体"/>
                <w:color w:val="auto"/>
                <w:highlight w:val="none"/>
                <w:lang w:eastAsia="zh-CN"/>
              </w:rPr>
            </w:pPr>
            <w:r>
              <w:rPr>
                <w:rFonts w:hint="eastAsia" w:ascii="宋体" w:hAnsi="宋体" w:eastAsia="宋体" w:cs="宋体"/>
                <w:color w:val="auto"/>
                <w:highlight w:val="none"/>
              </w:rPr>
              <w:t>第一个信封</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商务及技术文件</w:t>
            </w:r>
            <w:r>
              <w:rPr>
                <w:rFonts w:hint="eastAsia" w:ascii="宋体" w:hAnsi="宋体" w:eastAsia="宋体" w:cs="宋体"/>
                <w:color w:val="auto"/>
                <w:highlight w:val="none"/>
                <w:lang w:eastAsia="zh-CN"/>
              </w:rPr>
              <w:t>）</w:t>
            </w:r>
          </w:p>
          <w:p>
            <w:pPr>
              <w:adjustRightInd w:val="0"/>
              <w:snapToGrid w:val="0"/>
              <w:spacing w:line="288" w:lineRule="auto"/>
              <w:rPr>
                <w:rFonts w:hint="eastAsia" w:ascii="宋体" w:hAnsi="宋体" w:eastAsia="宋体" w:cs="宋体"/>
                <w:color w:val="auto"/>
                <w:highlight w:val="none"/>
              </w:rPr>
            </w:pPr>
            <w:r>
              <w:rPr>
                <w:rFonts w:hint="eastAsia" w:ascii="宋体" w:hAnsi="宋体" w:eastAsia="宋体" w:cs="宋体"/>
                <w:color w:val="auto"/>
                <w:highlight w:val="none"/>
              </w:rPr>
              <w:t>（1）投标人网上</w:t>
            </w:r>
            <w:r>
              <w:rPr>
                <w:rFonts w:hint="eastAsia" w:ascii="宋体" w:hAnsi="宋体" w:eastAsia="宋体" w:cs="宋体"/>
                <w:color w:val="auto"/>
                <w:highlight w:val="none"/>
                <w:lang w:val="en-US" w:eastAsia="zh-CN"/>
              </w:rPr>
              <w:t>下载</w:t>
            </w:r>
            <w:r>
              <w:rPr>
                <w:rFonts w:hint="eastAsia" w:ascii="宋体" w:hAnsi="宋体" w:eastAsia="宋体" w:cs="宋体"/>
                <w:color w:val="auto"/>
                <w:highlight w:val="none"/>
              </w:rPr>
              <w:t>的标包、投标保证金提交的标包和投标文件所投标包一致。</w:t>
            </w:r>
          </w:p>
          <w:p>
            <w:pPr>
              <w:adjustRightInd w:val="0"/>
              <w:spacing w:line="288" w:lineRule="auto"/>
              <w:rPr>
                <w:rFonts w:hint="eastAsia" w:ascii="宋体" w:hAnsi="宋体" w:eastAsia="宋体" w:cs="宋体"/>
                <w:color w:val="auto"/>
                <w:highlight w:val="none"/>
              </w:rPr>
            </w:pPr>
            <w:r>
              <w:rPr>
                <w:rFonts w:hint="eastAsia" w:ascii="宋体" w:hAnsi="宋体" w:eastAsia="宋体" w:cs="宋体"/>
                <w:color w:val="auto"/>
                <w:highlight w:val="none"/>
              </w:rPr>
              <w:t>（2）投标人名称与营业执照一致。</w:t>
            </w:r>
          </w:p>
          <w:p>
            <w:pPr>
              <w:adjustRightInd w:val="0"/>
              <w:spacing w:line="288" w:lineRule="auto"/>
              <w:rPr>
                <w:rFonts w:hint="eastAsia" w:ascii="宋体" w:hAnsi="宋体" w:eastAsia="宋体" w:cs="宋体"/>
                <w:color w:val="auto"/>
                <w:highlight w:val="none"/>
              </w:rPr>
            </w:pPr>
            <w:r>
              <w:rPr>
                <w:rFonts w:hint="eastAsia" w:ascii="宋体" w:hAnsi="宋体" w:eastAsia="宋体" w:cs="宋体"/>
                <w:color w:val="auto"/>
                <w:highlight w:val="none"/>
              </w:rPr>
              <w:t>（3）投标人按照招标文件的规定提供了投标保证金：</w:t>
            </w:r>
          </w:p>
          <w:p>
            <w:pPr>
              <w:adjustRightInd w:val="0"/>
              <w:spacing w:line="288" w:lineRule="auto"/>
              <w:ind w:firstLine="315" w:firstLineChars="150"/>
              <w:rPr>
                <w:rFonts w:hint="eastAsia" w:ascii="宋体" w:hAnsi="宋体" w:eastAsia="宋体" w:cs="宋体"/>
                <w:color w:val="auto"/>
                <w:highlight w:val="none"/>
              </w:rPr>
            </w:pPr>
            <w:r>
              <w:rPr>
                <w:rFonts w:hint="eastAsia" w:ascii="宋体" w:hAnsi="宋体" w:eastAsia="宋体" w:cs="宋体"/>
                <w:color w:val="auto"/>
                <w:highlight w:val="none"/>
              </w:rPr>
              <w:t>a.投标保证金金额符合招标文件规定的金额，且投标保证金有效期不少于投标有效期；</w:t>
            </w:r>
          </w:p>
          <w:p>
            <w:pPr>
              <w:adjustRightInd w:val="0"/>
              <w:spacing w:line="288" w:lineRule="auto"/>
              <w:ind w:firstLine="315" w:firstLineChars="150"/>
              <w:rPr>
                <w:rFonts w:hint="eastAsia" w:ascii="宋体" w:hAnsi="宋体" w:eastAsia="宋体" w:cs="宋体"/>
                <w:color w:val="auto"/>
                <w:highlight w:val="none"/>
              </w:rPr>
            </w:pPr>
            <w:r>
              <w:rPr>
                <w:rFonts w:hint="eastAsia" w:ascii="宋体" w:hAnsi="宋体" w:eastAsia="宋体" w:cs="宋体"/>
                <w:color w:val="auto"/>
                <w:highlight w:val="none"/>
              </w:rPr>
              <w:t>b.若投标保证金采用现金或支票形式提交，投标人应在递交投标文件截止时间之前，将投标保证金由投标人的基本账户转入并到达招标人指定账户。</w:t>
            </w:r>
          </w:p>
          <w:p>
            <w:pPr>
              <w:adjustRightInd w:val="0"/>
              <w:spacing w:line="288" w:lineRule="auto"/>
              <w:rPr>
                <w:rFonts w:hint="eastAsia" w:ascii="宋体" w:hAnsi="宋体" w:eastAsia="宋体" w:cs="宋体"/>
                <w:color w:val="auto"/>
                <w:highlight w:val="none"/>
              </w:rPr>
            </w:pPr>
            <w:r>
              <w:rPr>
                <w:rFonts w:hint="eastAsia" w:ascii="宋体" w:hAnsi="宋体" w:eastAsia="宋体" w:cs="宋体"/>
                <w:color w:val="auto"/>
                <w:highlight w:val="none"/>
              </w:rPr>
              <w:t>（4）投标文件按照招标文件规定的格式、内容填写，字迹清晰可辨：</w:t>
            </w:r>
          </w:p>
          <w:p>
            <w:pPr>
              <w:adjustRightInd w:val="0"/>
              <w:spacing w:line="288" w:lineRule="auto"/>
              <w:ind w:firstLine="315" w:firstLineChars="150"/>
              <w:rPr>
                <w:rFonts w:hint="eastAsia" w:ascii="宋体" w:hAnsi="宋体" w:eastAsia="宋体" w:cs="宋体"/>
                <w:color w:val="auto"/>
                <w:highlight w:val="none"/>
              </w:rPr>
            </w:pPr>
            <w:r>
              <w:rPr>
                <w:rFonts w:hint="eastAsia" w:ascii="宋体" w:hAnsi="宋体" w:eastAsia="宋体" w:cs="宋体"/>
                <w:color w:val="auto"/>
                <w:highlight w:val="none"/>
              </w:rPr>
              <w:t>a.投标函按招标文件规定填报了招标人名称、项目名称、标包号；</w:t>
            </w:r>
          </w:p>
          <w:p>
            <w:pPr>
              <w:adjustRightInd w:val="0"/>
              <w:spacing w:line="288" w:lineRule="auto"/>
              <w:ind w:firstLine="315" w:firstLineChars="150"/>
              <w:rPr>
                <w:rFonts w:hint="eastAsia" w:ascii="宋体" w:hAnsi="宋体" w:eastAsia="宋体" w:cs="宋体"/>
                <w:color w:val="auto"/>
                <w:highlight w:val="none"/>
              </w:rPr>
            </w:pPr>
            <w:r>
              <w:rPr>
                <w:rFonts w:hint="eastAsia" w:ascii="宋体" w:hAnsi="宋体" w:eastAsia="宋体" w:cs="宋体"/>
                <w:color w:val="auto"/>
                <w:highlight w:val="none"/>
              </w:rPr>
              <w:t>b.投标文件组成齐全完整，内容均按规定填写。</w:t>
            </w:r>
          </w:p>
          <w:p>
            <w:pPr>
              <w:adjustRightInd w:val="0"/>
              <w:spacing w:line="288" w:lineRule="auto"/>
              <w:rPr>
                <w:rFonts w:hint="eastAsia" w:ascii="宋体" w:hAnsi="宋体" w:eastAsia="宋体" w:cs="宋体"/>
                <w:color w:val="auto"/>
                <w:highlight w:val="none"/>
              </w:rPr>
            </w:pPr>
            <w:r>
              <w:rPr>
                <w:rFonts w:hint="eastAsia" w:ascii="宋体" w:hAnsi="宋体" w:eastAsia="宋体" w:cs="宋体"/>
                <w:color w:val="auto"/>
                <w:highlight w:val="none"/>
              </w:rPr>
              <w:t>（5）投标文件上法定代表人电子签名章、投标人的单位电子印章盖章齐全，符合招标文件规定。</w:t>
            </w:r>
          </w:p>
          <w:p>
            <w:pPr>
              <w:adjustRightInd w:val="0"/>
              <w:spacing w:line="288" w:lineRule="auto"/>
              <w:rPr>
                <w:rFonts w:hint="eastAsia" w:ascii="宋体" w:hAnsi="宋体" w:eastAsia="宋体" w:cs="宋体"/>
                <w:color w:val="auto"/>
                <w:highlight w:val="none"/>
              </w:rPr>
            </w:pPr>
            <w:r>
              <w:rPr>
                <w:rFonts w:hint="eastAsia" w:ascii="宋体" w:hAnsi="宋体" w:eastAsia="宋体" w:cs="宋体"/>
                <w:color w:val="auto"/>
                <w:highlight w:val="none"/>
              </w:rPr>
              <w:t>（6）投标文件中未出现有关投标报价的内容。</w:t>
            </w:r>
          </w:p>
          <w:p>
            <w:pPr>
              <w:adjustRightInd w:val="0"/>
              <w:spacing w:line="288" w:lineRule="auto"/>
              <w:rPr>
                <w:rFonts w:hint="eastAsia" w:ascii="宋体" w:hAnsi="宋体" w:eastAsia="宋体" w:cs="宋体"/>
                <w:color w:val="auto"/>
                <w:highlight w:val="none"/>
              </w:rPr>
            </w:pPr>
            <w:r>
              <w:rPr>
                <w:rFonts w:hint="eastAsia" w:ascii="宋体" w:hAnsi="宋体" w:eastAsia="宋体" w:cs="宋体"/>
                <w:color w:val="auto"/>
                <w:highlight w:val="none"/>
              </w:rPr>
              <w:t>（</w:t>
            </w:r>
            <w:r>
              <w:rPr>
                <w:rFonts w:hint="eastAsia" w:ascii="宋体" w:hAnsi="宋体" w:eastAsia="宋体" w:cs="宋体"/>
                <w:color w:val="auto"/>
                <w:highlight w:val="none"/>
                <w:lang w:val="en-US" w:eastAsia="zh-CN"/>
              </w:rPr>
              <w:t>7</w:t>
            </w:r>
            <w:r>
              <w:rPr>
                <w:rFonts w:hint="eastAsia" w:ascii="宋体" w:hAnsi="宋体" w:eastAsia="宋体" w:cs="宋体"/>
                <w:color w:val="auto"/>
                <w:highlight w:val="none"/>
              </w:rPr>
              <w:t>）带*号的产品关键技术指标必须满足‘买方技术参数要求’”</w:t>
            </w:r>
            <w:r>
              <w:rPr>
                <w:rFonts w:hint="eastAsia" w:ascii="宋体" w:hAnsi="宋体" w:eastAsia="宋体" w:cs="宋体"/>
                <w:color w:val="auto"/>
                <w:highlight w:val="none"/>
                <w:lang w:val="en-US" w:eastAsia="zh-CN"/>
              </w:rPr>
              <w:t>且按招标文件要求提供相关证明材料</w:t>
            </w:r>
            <w:r>
              <w:rPr>
                <w:rFonts w:hint="eastAsia" w:ascii="宋体" w:hAnsi="宋体" w:eastAsia="宋体" w:cs="宋体"/>
                <w:color w:val="auto"/>
                <w:highlight w:val="none"/>
              </w:rPr>
              <w:t>。</w:t>
            </w:r>
          </w:p>
          <w:p>
            <w:pPr>
              <w:adjustRightInd w:val="0"/>
              <w:spacing w:line="288" w:lineRule="auto"/>
              <w:rPr>
                <w:rFonts w:hint="eastAsia" w:ascii="宋体" w:hAnsi="宋体" w:eastAsia="宋体" w:cs="宋体"/>
                <w:color w:val="auto"/>
                <w:highlight w:val="none"/>
              </w:rPr>
            </w:pPr>
            <w:r>
              <w:rPr>
                <w:rFonts w:hint="eastAsia" w:ascii="宋体" w:hAnsi="宋体" w:eastAsia="宋体" w:cs="宋体"/>
                <w:color w:val="auto"/>
                <w:highlight w:val="none"/>
              </w:rPr>
              <w:t>（</w:t>
            </w:r>
            <w:r>
              <w:rPr>
                <w:rFonts w:hint="eastAsia" w:ascii="宋体" w:hAnsi="宋体" w:eastAsia="宋体" w:cs="宋体"/>
                <w:color w:val="auto"/>
                <w:highlight w:val="none"/>
                <w:lang w:val="en-US" w:eastAsia="zh-CN"/>
              </w:rPr>
              <w:t>8</w:t>
            </w:r>
            <w:r>
              <w:rPr>
                <w:rFonts w:hint="eastAsia" w:ascii="宋体" w:hAnsi="宋体" w:eastAsia="宋体" w:cs="宋体"/>
                <w:color w:val="auto"/>
                <w:highlight w:val="none"/>
              </w:rPr>
              <w:t>）权利义务符合第二章“投标人须知”第1.11.1项规定和第四章“合同条款及格式”中的实质性要求和条件。</w:t>
            </w:r>
          </w:p>
          <w:p>
            <w:pPr>
              <w:adjustRightInd w:val="0"/>
              <w:spacing w:line="288"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9</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所投产品中车辆应为经过国家行业主管部门认证的定型产品，且列入《中华人民共和国发改委车辆生产企业及产品公告》，产品具备国家3C认证和环保认证</w:t>
            </w:r>
            <w:r>
              <w:rPr>
                <w:rFonts w:hint="eastAsia" w:ascii="宋体" w:hAnsi="宋体" w:eastAsia="宋体" w:cs="宋体"/>
                <w:color w:val="auto"/>
                <w:highlight w:val="none"/>
                <w:lang w:eastAsia="zh-CN"/>
              </w:rPr>
              <w:t>。</w:t>
            </w:r>
          </w:p>
          <w:p>
            <w:pPr>
              <w:adjustRightInd w:val="0"/>
              <w:spacing w:line="312" w:lineRule="auto"/>
              <w:rPr>
                <w:rFonts w:hint="eastAsia" w:ascii="宋体" w:hAnsi="宋体" w:eastAsia="宋体" w:cs="宋体"/>
                <w:b/>
                <w:bCs/>
                <w:color w:val="auto"/>
                <w:sz w:val="22"/>
                <w:highlight w:val="none"/>
              </w:rPr>
            </w:pPr>
            <w:r>
              <w:rPr>
                <w:rFonts w:hint="eastAsia" w:ascii="宋体" w:hAnsi="宋体" w:eastAsia="宋体" w:cs="宋体"/>
                <w:b/>
                <w:bCs/>
                <w:color w:val="auto"/>
                <w:sz w:val="22"/>
                <w:szCs w:val="22"/>
                <w:highlight w:val="none"/>
              </w:rPr>
              <w:t>（1</w:t>
            </w:r>
            <w:r>
              <w:rPr>
                <w:rFonts w:hint="eastAsia" w:ascii="宋体" w:hAnsi="宋体" w:eastAsia="宋体" w:cs="宋体"/>
                <w:b/>
                <w:bCs/>
                <w:color w:val="auto"/>
                <w:sz w:val="22"/>
                <w:szCs w:val="22"/>
                <w:highlight w:val="none"/>
                <w:lang w:val="en-US" w:eastAsia="zh-CN"/>
              </w:rPr>
              <w:t>0</w:t>
            </w:r>
            <w:r>
              <w:rPr>
                <w:rFonts w:hint="eastAsia" w:ascii="宋体" w:hAnsi="宋体" w:eastAsia="宋体" w:cs="宋体"/>
                <w:b/>
                <w:bCs/>
                <w:color w:val="auto"/>
                <w:sz w:val="22"/>
                <w:szCs w:val="22"/>
                <w:highlight w:val="none"/>
              </w:rPr>
              <w:t>）按招标文件要求上传了加密电子投标文件，并按要求成功解密。</w:t>
            </w:r>
          </w:p>
          <w:p>
            <w:pPr>
              <w:adjustRightInd w:val="0"/>
              <w:spacing w:line="312" w:lineRule="auto"/>
              <w:rPr>
                <w:rFonts w:hint="eastAsia" w:ascii="宋体" w:hAnsi="宋体" w:eastAsia="宋体" w:cs="宋体"/>
                <w:b/>
                <w:bCs/>
                <w:color w:val="auto"/>
                <w:sz w:val="22"/>
                <w:highlight w:val="none"/>
              </w:rPr>
            </w:pPr>
            <w:r>
              <w:rPr>
                <w:rFonts w:hint="eastAsia" w:ascii="宋体" w:hAnsi="宋体" w:eastAsia="宋体" w:cs="宋体"/>
                <w:b/>
                <w:bCs/>
                <w:color w:val="auto"/>
                <w:sz w:val="22"/>
                <w:szCs w:val="22"/>
                <w:highlight w:val="none"/>
              </w:rPr>
              <w:t>（1</w:t>
            </w:r>
            <w:r>
              <w:rPr>
                <w:rFonts w:hint="eastAsia" w:ascii="宋体" w:hAnsi="宋体" w:eastAsia="宋体" w:cs="宋体"/>
                <w:b/>
                <w:bCs/>
                <w:color w:val="auto"/>
                <w:sz w:val="22"/>
                <w:szCs w:val="22"/>
                <w:highlight w:val="none"/>
                <w:lang w:val="en-US" w:eastAsia="zh-CN"/>
              </w:rPr>
              <w:t>1</w:t>
            </w:r>
            <w:r>
              <w:rPr>
                <w:rFonts w:hint="eastAsia" w:ascii="宋体" w:hAnsi="宋体" w:eastAsia="宋体" w:cs="宋体"/>
                <w:b/>
                <w:bCs/>
                <w:color w:val="auto"/>
                <w:sz w:val="22"/>
                <w:szCs w:val="22"/>
                <w:highlight w:val="none"/>
              </w:rPr>
              <w:t>）投标人网上购买招标文件的标段和投标文件所投标段一致，投标保证金提交的标段符合招标文件规定，投标数量符合招标文件规定。</w:t>
            </w:r>
          </w:p>
          <w:p>
            <w:pPr>
              <w:adjustRightInd w:val="0"/>
              <w:spacing w:line="276" w:lineRule="auto"/>
              <w:rPr>
                <w:rFonts w:hint="eastAsia" w:ascii="宋体" w:hAnsi="宋体" w:eastAsia="宋体" w:cs="宋体"/>
                <w:b/>
                <w:bCs/>
                <w:color w:val="auto"/>
                <w:sz w:val="22"/>
                <w:highlight w:val="none"/>
              </w:rPr>
            </w:pPr>
            <w:r>
              <w:rPr>
                <w:rFonts w:hint="eastAsia" w:ascii="宋体" w:hAnsi="宋体" w:eastAsia="宋体" w:cs="宋体"/>
                <w:b/>
                <w:bCs/>
                <w:color w:val="auto"/>
                <w:sz w:val="22"/>
                <w:szCs w:val="22"/>
                <w:highlight w:val="none"/>
              </w:rPr>
              <w:t>（1</w:t>
            </w:r>
            <w:r>
              <w:rPr>
                <w:rFonts w:hint="eastAsia" w:ascii="宋体" w:hAnsi="宋体" w:eastAsia="宋体" w:cs="宋体"/>
                <w:b/>
                <w:bCs/>
                <w:color w:val="auto"/>
                <w:sz w:val="22"/>
                <w:szCs w:val="22"/>
                <w:highlight w:val="none"/>
                <w:lang w:val="en-US" w:eastAsia="zh-CN"/>
              </w:rPr>
              <w:t>2</w:t>
            </w:r>
            <w:r>
              <w:rPr>
                <w:rFonts w:hint="eastAsia" w:ascii="宋体" w:hAnsi="宋体" w:eastAsia="宋体" w:cs="宋体"/>
                <w:b/>
                <w:bCs/>
                <w:color w:val="auto"/>
                <w:sz w:val="22"/>
                <w:szCs w:val="22"/>
                <w:highlight w:val="none"/>
              </w:rPr>
              <w:t>）投标人对其信誉情况的承诺与事实相符。</w:t>
            </w:r>
          </w:p>
          <w:p>
            <w:pPr>
              <w:pStyle w:val="8"/>
              <w:ind w:left="0" w:leftChars="0" w:firstLine="0" w:firstLineChars="0"/>
              <w:rPr>
                <w:rFonts w:hint="eastAsia" w:ascii="宋体" w:hAnsi="宋体" w:eastAsia="宋体" w:cs="宋体"/>
                <w:color w:val="auto"/>
                <w:highlight w:val="none"/>
              </w:rPr>
            </w:pPr>
            <w:r>
              <w:rPr>
                <w:rFonts w:hint="eastAsia" w:ascii="宋体" w:hAnsi="宋体" w:eastAsia="宋体" w:cs="宋体"/>
                <w:color w:val="auto"/>
                <w:sz w:val="22"/>
                <w:szCs w:val="22"/>
                <w:highlight w:val="none"/>
              </w:rPr>
              <w:t>（1</w:t>
            </w:r>
            <w:r>
              <w:rPr>
                <w:rFonts w:hint="eastAsia" w:ascii="宋体" w:hAnsi="宋体" w:eastAsia="宋体" w:cs="宋体"/>
                <w:color w:val="auto"/>
                <w:sz w:val="22"/>
                <w:szCs w:val="22"/>
                <w:highlight w:val="none"/>
                <w:lang w:val="en-US" w:eastAsia="zh-CN"/>
              </w:rPr>
              <w:t>3</w:t>
            </w:r>
            <w:r>
              <w:rPr>
                <w:rFonts w:hint="eastAsia" w:ascii="宋体" w:hAnsi="宋体" w:eastAsia="宋体" w:cs="宋体"/>
                <w:color w:val="auto"/>
                <w:sz w:val="22"/>
                <w:szCs w:val="22"/>
                <w:highlight w:val="none"/>
              </w:rPr>
              <w:t>）投标文件未附有招标人不能接受的条件。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944" w:type="dxa"/>
            <w:vMerge w:val="continue"/>
            <w:noWrap w:val="0"/>
            <w:vAlign w:val="center"/>
          </w:tcPr>
          <w:p>
            <w:pPr>
              <w:adjustRightInd w:val="0"/>
              <w:snapToGrid w:val="0"/>
              <w:spacing w:line="288" w:lineRule="auto"/>
              <w:jc w:val="center"/>
              <w:rPr>
                <w:rFonts w:hint="eastAsia" w:ascii="宋体" w:hAnsi="宋体" w:eastAsia="宋体" w:cs="宋体"/>
                <w:color w:val="auto"/>
                <w:szCs w:val="21"/>
                <w:highlight w:val="none"/>
              </w:rPr>
            </w:pPr>
          </w:p>
        </w:tc>
        <w:tc>
          <w:tcPr>
            <w:tcW w:w="1162" w:type="dxa"/>
            <w:vMerge w:val="continue"/>
            <w:noWrap w:val="0"/>
            <w:vAlign w:val="center"/>
          </w:tcPr>
          <w:p>
            <w:pPr>
              <w:adjustRightInd w:val="0"/>
              <w:snapToGrid w:val="0"/>
              <w:spacing w:line="288" w:lineRule="auto"/>
              <w:jc w:val="center"/>
              <w:rPr>
                <w:rFonts w:hint="eastAsia" w:ascii="宋体" w:hAnsi="宋体" w:eastAsia="宋体" w:cs="宋体"/>
                <w:color w:val="auto"/>
                <w:szCs w:val="21"/>
                <w:highlight w:val="none"/>
              </w:rPr>
            </w:pPr>
          </w:p>
        </w:tc>
        <w:tc>
          <w:tcPr>
            <w:tcW w:w="6966" w:type="dxa"/>
            <w:noWrap w:val="0"/>
            <w:vAlign w:val="center"/>
          </w:tcPr>
          <w:p>
            <w:pPr>
              <w:adjustRightInd w:val="0"/>
              <w:snapToGrid w:val="0"/>
              <w:spacing w:line="288" w:lineRule="auto"/>
              <w:rPr>
                <w:rFonts w:hint="eastAsia" w:ascii="宋体" w:hAnsi="宋体" w:eastAsia="宋体" w:cs="宋体"/>
                <w:b/>
                <w:bCs/>
                <w:color w:val="auto"/>
                <w:sz w:val="22"/>
                <w:szCs w:val="21"/>
                <w:highlight w:val="none"/>
              </w:rPr>
            </w:pPr>
            <w:r>
              <w:rPr>
                <w:rFonts w:hint="eastAsia" w:ascii="宋体" w:hAnsi="宋体" w:eastAsia="宋体" w:cs="宋体"/>
                <w:b/>
                <w:bCs/>
                <w:color w:val="auto"/>
                <w:sz w:val="22"/>
                <w:szCs w:val="21"/>
                <w:highlight w:val="none"/>
              </w:rPr>
              <w:t>第二个信封</w:t>
            </w:r>
            <w:r>
              <w:rPr>
                <w:rFonts w:hint="eastAsia" w:ascii="宋体" w:hAnsi="宋体" w:eastAsia="宋体" w:cs="宋体"/>
                <w:b/>
                <w:bCs/>
                <w:color w:val="auto"/>
                <w:sz w:val="22"/>
                <w:szCs w:val="21"/>
                <w:highlight w:val="none"/>
                <w:lang w:eastAsia="zh-CN"/>
              </w:rPr>
              <w:t>（</w:t>
            </w:r>
            <w:r>
              <w:rPr>
                <w:rFonts w:hint="eastAsia" w:ascii="宋体" w:hAnsi="宋体" w:eastAsia="宋体" w:cs="宋体"/>
                <w:b/>
                <w:bCs/>
                <w:color w:val="auto"/>
                <w:sz w:val="22"/>
                <w:szCs w:val="21"/>
                <w:highlight w:val="none"/>
              </w:rPr>
              <w:t>报价文件</w:t>
            </w:r>
            <w:r>
              <w:rPr>
                <w:rFonts w:hint="eastAsia" w:ascii="宋体" w:hAnsi="宋体" w:eastAsia="宋体" w:cs="宋体"/>
                <w:b/>
                <w:bCs/>
                <w:color w:val="auto"/>
                <w:sz w:val="22"/>
                <w:szCs w:val="21"/>
                <w:highlight w:val="none"/>
                <w:lang w:eastAsia="zh-CN"/>
              </w:rPr>
              <w:t>）</w:t>
            </w:r>
          </w:p>
          <w:p>
            <w:pPr>
              <w:spacing w:line="288" w:lineRule="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eastAsia="zh-CN"/>
              </w:rPr>
              <w:t>（</w:t>
            </w:r>
            <w:r>
              <w:rPr>
                <w:rFonts w:hint="eastAsia" w:ascii="宋体" w:hAnsi="宋体" w:eastAsia="宋体" w:cs="宋体"/>
                <w:color w:val="auto"/>
                <w:sz w:val="22"/>
                <w:szCs w:val="22"/>
                <w:highlight w:val="none"/>
              </w:rPr>
              <w:t>1）投标文件按照招标文件规定的格式、内容填写，字迹清晰可辨：</w:t>
            </w:r>
          </w:p>
          <w:p>
            <w:pPr>
              <w:adjustRightInd w:val="0"/>
              <w:spacing w:line="288"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a.投标函按招标文件规定填报了招标人名称、项目名称、标包号、投标价（包括大写金额和小写金额）；</w:t>
            </w:r>
          </w:p>
          <w:p>
            <w:pPr>
              <w:adjustRightInd w:val="0"/>
              <w:spacing w:line="288"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b.报价清单及说明文字与招标文件规定一致，未进行实质性修改和删减；</w:t>
            </w:r>
          </w:p>
          <w:p>
            <w:pPr>
              <w:adjustRightInd w:val="0"/>
              <w:spacing w:line="288"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c.投标文件组成齐全完整，内容均按规定填写。</w:t>
            </w:r>
          </w:p>
          <w:p>
            <w:pPr>
              <w:spacing w:line="288" w:lineRule="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（2）投标文件上法定代表人电子签名章、投标人的单位电子印章盖章齐全，符合招标文件规定。</w:t>
            </w:r>
          </w:p>
          <w:p>
            <w:pPr>
              <w:spacing w:line="288" w:lineRule="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（3）投标报价未超过招标文件设定的最高投标限价。</w:t>
            </w:r>
          </w:p>
          <w:p>
            <w:pPr>
              <w:spacing w:line="288" w:lineRule="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（4）投标报价的大写金额能够确定具体数值。</w:t>
            </w:r>
          </w:p>
          <w:p>
            <w:pPr>
              <w:spacing w:line="288" w:lineRule="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（5）同一投标人未提交两个以上不同的投标报价。</w:t>
            </w:r>
          </w:p>
          <w:p>
            <w:pPr>
              <w:adjustRightInd w:val="0"/>
              <w:snapToGrid w:val="0"/>
              <w:spacing w:line="288" w:lineRule="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（6）投标人未提交调价函。</w:t>
            </w:r>
          </w:p>
          <w:p>
            <w:pPr>
              <w:adjustRightInd w:val="0"/>
              <w:snapToGrid w:val="0"/>
              <w:spacing w:line="288" w:lineRule="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（7）未附有招标人不能接受的条件。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944" w:type="dxa"/>
            <w:noWrap w:val="0"/>
            <w:vAlign w:val="center"/>
          </w:tcPr>
          <w:p>
            <w:pPr>
              <w:adjustRightInd w:val="0"/>
              <w:snapToGrid w:val="0"/>
              <w:spacing w:line="288" w:lineRule="auto"/>
              <w:jc w:val="center"/>
              <w:rPr>
                <w:rFonts w:hint="eastAsia" w:ascii="宋体" w:hAnsi="宋体" w:eastAsia="宋体" w:cs="宋体"/>
                <w:color w:val="auto"/>
                <w:szCs w:val="21"/>
                <w:highlight w:val="none"/>
              </w:rPr>
            </w:pPr>
            <w:r>
              <w:rPr>
                <w:rFonts w:hint="eastAsia" w:ascii="宋体" w:hAnsi="宋体" w:eastAsia="宋体" w:cs="宋体"/>
                <w:color w:val="auto"/>
                <w:w w:val="99"/>
                <w:sz w:val="22"/>
                <w:szCs w:val="21"/>
                <w:highlight w:val="none"/>
              </w:rPr>
              <w:t>2.1.2</w:t>
            </w:r>
          </w:p>
        </w:tc>
        <w:tc>
          <w:tcPr>
            <w:tcW w:w="1162" w:type="dxa"/>
            <w:noWrap w:val="0"/>
            <w:vAlign w:val="center"/>
          </w:tcPr>
          <w:p>
            <w:pPr>
              <w:adjustRightInd w:val="0"/>
              <w:snapToGrid w:val="0"/>
              <w:spacing w:line="288" w:lineRule="auto"/>
              <w:jc w:val="center"/>
              <w:rPr>
                <w:rFonts w:hint="eastAsia" w:ascii="宋体" w:hAnsi="宋体" w:eastAsia="宋体" w:cs="宋体"/>
                <w:color w:val="auto"/>
                <w:szCs w:val="21"/>
                <w:highlight w:val="none"/>
              </w:rPr>
            </w:pPr>
            <w:r>
              <w:rPr>
                <w:rFonts w:hint="eastAsia" w:ascii="宋体" w:hAnsi="宋体" w:eastAsia="宋体" w:cs="宋体"/>
                <w:color w:val="auto"/>
                <w:sz w:val="22"/>
                <w:szCs w:val="21"/>
                <w:highlight w:val="none"/>
              </w:rPr>
              <w:t>资格评审标准</w:t>
            </w:r>
          </w:p>
        </w:tc>
        <w:tc>
          <w:tcPr>
            <w:tcW w:w="6966" w:type="dxa"/>
            <w:noWrap w:val="0"/>
            <w:vAlign w:val="center"/>
          </w:tcPr>
          <w:p>
            <w:pPr>
              <w:numPr>
                <w:ilvl w:val="0"/>
                <w:numId w:val="3"/>
              </w:numPr>
              <w:adjustRightInd w:val="0"/>
              <w:snapToGrid w:val="0"/>
              <w:spacing w:line="288" w:lineRule="auto"/>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rPr>
              <w:t>投标人</w:t>
            </w:r>
            <w:r>
              <w:rPr>
                <w:rFonts w:hint="eastAsia" w:ascii="宋体" w:hAnsi="宋体" w:eastAsia="宋体" w:cs="宋体"/>
                <w:color w:val="auto"/>
                <w:sz w:val="22"/>
                <w:szCs w:val="22"/>
                <w:highlight w:val="none"/>
                <w:lang w:val="en-US" w:eastAsia="zh-CN"/>
              </w:rPr>
              <w:t>具有独立法人资格具有</w:t>
            </w:r>
            <w:r>
              <w:rPr>
                <w:rFonts w:hint="eastAsia" w:ascii="宋体" w:hAnsi="宋体" w:eastAsia="宋体" w:cs="宋体"/>
                <w:color w:val="auto"/>
                <w:sz w:val="22"/>
                <w:szCs w:val="22"/>
                <w:highlight w:val="none"/>
              </w:rPr>
              <w:t>有效的营业执照、基本账户开户许可证或基本存款账户编号和要求的其他执照或证书</w:t>
            </w:r>
            <w:r>
              <w:rPr>
                <w:rFonts w:hint="eastAsia" w:ascii="宋体" w:hAnsi="宋体" w:eastAsia="宋体" w:cs="宋体"/>
                <w:color w:val="auto"/>
                <w:sz w:val="22"/>
                <w:szCs w:val="22"/>
                <w:highlight w:val="none"/>
                <w:lang w:eastAsia="zh-CN"/>
              </w:rPr>
              <w:t>。</w:t>
            </w:r>
          </w:p>
          <w:p>
            <w:pPr>
              <w:spacing w:line="360" w:lineRule="auto"/>
              <w:ind w:right="113"/>
              <w:jc w:val="left"/>
              <w:rPr>
                <w:rFonts w:hint="eastAsia" w:ascii="宋体" w:hAnsi="宋体" w:eastAsia="宋体" w:cs="宋体"/>
                <w:color w:val="auto"/>
                <w:highlight w:val="none"/>
                <w:lang w:eastAsia="zh-CN"/>
              </w:rPr>
            </w:pPr>
            <w:r>
              <w:rPr>
                <w:rFonts w:hint="eastAsia" w:ascii="宋体" w:hAnsi="宋体" w:eastAsia="宋体" w:cs="宋体"/>
                <w:color w:val="auto"/>
                <w:kern w:val="0"/>
                <w:szCs w:val="21"/>
                <w:highlight w:val="none"/>
              </w:rPr>
              <w:t>（2）</w:t>
            </w:r>
            <w:r>
              <w:rPr>
                <w:rFonts w:hint="eastAsia" w:ascii="宋体" w:hAnsi="宋体" w:eastAsia="宋体" w:cs="宋体"/>
                <w:color w:val="auto"/>
                <w:sz w:val="22"/>
                <w:szCs w:val="22"/>
                <w:highlight w:val="none"/>
              </w:rPr>
              <w:t>投标人的资质符合招标文件资质要求规定</w:t>
            </w:r>
            <w:r>
              <w:rPr>
                <w:rFonts w:hint="eastAsia" w:ascii="宋体" w:hAnsi="宋体" w:eastAsia="宋体" w:cs="宋体"/>
                <w:color w:val="auto"/>
                <w:kern w:val="0"/>
                <w:szCs w:val="21"/>
                <w:highlight w:val="none"/>
              </w:rPr>
              <w:t>；</w:t>
            </w:r>
          </w:p>
          <w:p>
            <w:pPr>
              <w:adjustRightInd w:val="0"/>
              <w:snapToGrid w:val="0"/>
              <w:spacing w:line="288" w:lineRule="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w:t>
            </w:r>
            <w:r>
              <w:rPr>
                <w:rFonts w:hint="eastAsia" w:ascii="宋体" w:hAnsi="宋体" w:eastAsia="宋体" w:cs="宋体"/>
                <w:color w:val="auto"/>
                <w:sz w:val="22"/>
                <w:szCs w:val="22"/>
                <w:highlight w:val="none"/>
                <w:lang w:val="en-US" w:eastAsia="zh-CN"/>
              </w:rPr>
              <w:t>3</w:t>
            </w:r>
            <w:r>
              <w:rPr>
                <w:rFonts w:hint="eastAsia" w:ascii="宋体" w:hAnsi="宋体" w:eastAsia="宋体" w:cs="宋体"/>
                <w:color w:val="auto"/>
                <w:sz w:val="22"/>
                <w:szCs w:val="22"/>
                <w:highlight w:val="none"/>
              </w:rPr>
              <w:t>）投标人的供货业绩符合招标文件规定；</w:t>
            </w:r>
          </w:p>
          <w:p>
            <w:pPr>
              <w:adjustRightInd w:val="0"/>
              <w:snapToGrid w:val="0"/>
              <w:spacing w:line="288" w:lineRule="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w:t>
            </w:r>
            <w:r>
              <w:rPr>
                <w:rFonts w:hint="eastAsia" w:ascii="宋体" w:hAnsi="宋体" w:eastAsia="宋体" w:cs="宋体"/>
                <w:color w:val="auto"/>
                <w:sz w:val="22"/>
                <w:szCs w:val="22"/>
                <w:highlight w:val="none"/>
                <w:lang w:val="en-US" w:eastAsia="zh-CN"/>
              </w:rPr>
              <w:t>4</w:t>
            </w:r>
            <w:r>
              <w:rPr>
                <w:rFonts w:hint="eastAsia" w:ascii="宋体" w:hAnsi="宋体" w:eastAsia="宋体" w:cs="宋体"/>
                <w:color w:val="auto"/>
                <w:sz w:val="22"/>
                <w:szCs w:val="22"/>
                <w:highlight w:val="none"/>
              </w:rPr>
              <w:t>）投标人的信誉符合招标文件规定；</w:t>
            </w:r>
          </w:p>
          <w:p>
            <w:pPr>
              <w:adjustRightInd w:val="0"/>
              <w:spacing w:line="288" w:lineRule="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w:t>
            </w:r>
            <w:r>
              <w:rPr>
                <w:rFonts w:hint="eastAsia" w:ascii="宋体" w:hAnsi="宋体" w:eastAsia="宋体" w:cs="宋体"/>
                <w:color w:val="auto"/>
                <w:sz w:val="22"/>
                <w:szCs w:val="22"/>
                <w:highlight w:val="none"/>
                <w:lang w:val="en-US" w:eastAsia="zh-CN"/>
              </w:rPr>
              <w:t>5</w:t>
            </w:r>
            <w:r>
              <w:rPr>
                <w:rFonts w:hint="eastAsia" w:ascii="宋体" w:hAnsi="宋体" w:eastAsia="宋体" w:cs="宋体"/>
                <w:color w:val="auto"/>
                <w:sz w:val="22"/>
                <w:szCs w:val="22"/>
                <w:highlight w:val="none"/>
              </w:rPr>
              <w:t>）投标人不存在第二章“投标人须知”第 1.4.3 项规定的任何一种情形；</w:t>
            </w:r>
          </w:p>
          <w:p>
            <w:pPr>
              <w:adjustRightInd w:val="0"/>
              <w:spacing w:line="288" w:lineRule="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w:t>
            </w:r>
            <w:r>
              <w:rPr>
                <w:rFonts w:hint="eastAsia" w:ascii="宋体" w:hAnsi="宋体" w:eastAsia="宋体" w:cs="宋体"/>
                <w:color w:val="auto"/>
                <w:sz w:val="22"/>
                <w:szCs w:val="22"/>
                <w:highlight w:val="none"/>
                <w:lang w:val="en-US" w:eastAsia="zh-CN"/>
              </w:rPr>
              <w:t>6</w:t>
            </w:r>
            <w:r>
              <w:rPr>
                <w:rFonts w:hint="eastAsia" w:ascii="宋体" w:hAnsi="宋体" w:eastAsia="宋体" w:cs="宋体"/>
                <w:color w:val="auto"/>
                <w:sz w:val="22"/>
                <w:szCs w:val="22"/>
                <w:highlight w:val="none"/>
              </w:rPr>
              <w:t>）投标人的其他要求符合招标文件规定</w:t>
            </w:r>
          </w:p>
        </w:tc>
      </w:tr>
    </w:tbl>
    <w:p>
      <w:pPr>
        <w:adjustRightInd w:val="0"/>
        <w:snapToGrid w:val="0"/>
        <w:spacing w:line="300" w:lineRule="auto"/>
        <w:rPr>
          <w:rFonts w:hint="eastAsia" w:ascii="宋体" w:hAnsi="宋体" w:eastAsia="宋体" w:cs="宋体"/>
          <w:b/>
          <w:color w:val="auto"/>
          <w:sz w:val="22"/>
          <w:szCs w:val="22"/>
          <w:highlight w:val="none"/>
        </w:rPr>
        <w:sectPr>
          <w:footnotePr>
            <w:numFmt w:val="decimalEnclosedCircleChinese"/>
            <w:numRestart w:val="eachPage"/>
          </w:footnotePr>
          <w:endnotePr>
            <w:numFmt w:val="decimalEnclosedCircleChinese"/>
            <w:numRestart w:val="eachSect"/>
          </w:endnotePr>
          <w:pgSz w:w="11850" w:h="16783"/>
          <w:pgMar w:top="1418" w:right="1418" w:bottom="1418" w:left="1418" w:header="851" w:footer="992" w:gutter="0"/>
          <w:pgBorders>
            <w:top w:val="none" w:sz="0" w:space="0"/>
            <w:left w:val="none" w:sz="0" w:space="0"/>
            <w:bottom w:val="none" w:sz="0" w:space="0"/>
            <w:right w:val="none" w:sz="0" w:space="0"/>
          </w:pgBorders>
          <w:pgNumType w:fmt="decimal"/>
          <w:cols w:space="720" w:num="1"/>
          <w:titlePg/>
          <w:docGrid w:linePitch="312" w:charSpace="0"/>
        </w:sectPr>
      </w:pPr>
    </w:p>
    <w:p>
      <w:pPr>
        <w:pStyle w:val="4"/>
        <w:rPr>
          <w:rFonts w:hint="eastAsia" w:ascii="宋体" w:hAnsi="宋体" w:eastAsia="宋体" w:cs="宋体"/>
          <w:color w:val="auto"/>
          <w:highlight w:val="none"/>
        </w:rPr>
      </w:pPr>
      <w:bookmarkStart w:id="14" w:name="_Toc12816"/>
      <w:r>
        <w:rPr>
          <w:rFonts w:hint="eastAsia" w:ascii="宋体" w:hAnsi="宋体" w:eastAsia="宋体" w:cs="宋体"/>
          <w:color w:val="auto"/>
          <w:highlight w:val="none"/>
        </w:rPr>
        <w:t>表B</w:t>
      </w:r>
      <w:bookmarkEnd w:id="14"/>
    </w:p>
    <w:tbl>
      <w:tblPr>
        <w:tblStyle w:val="9"/>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247"/>
        <w:gridCol w:w="1799"/>
        <w:gridCol w:w="602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1247" w:type="dxa"/>
            <w:noWrap w:val="0"/>
            <w:vAlign w:val="center"/>
          </w:tcPr>
          <w:p>
            <w:pPr>
              <w:adjustRightInd w:val="0"/>
              <w:snapToGrid w:val="0"/>
              <w:spacing w:line="300" w:lineRule="auto"/>
              <w:jc w:val="center"/>
              <w:rPr>
                <w:rFonts w:hint="eastAsia" w:ascii="宋体" w:hAnsi="宋体" w:eastAsia="宋体" w:cs="宋体"/>
                <w:color w:val="auto"/>
                <w:szCs w:val="21"/>
                <w:highlight w:val="none"/>
              </w:rPr>
            </w:pPr>
            <w:r>
              <w:rPr>
                <w:rFonts w:hint="eastAsia" w:ascii="宋体" w:hAnsi="宋体" w:eastAsia="宋体" w:cs="宋体"/>
                <w:b/>
                <w:color w:val="auto"/>
                <w:w w:val="98"/>
                <w:sz w:val="22"/>
                <w:szCs w:val="21"/>
                <w:highlight w:val="none"/>
              </w:rPr>
              <w:t>条款号</w:t>
            </w:r>
          </w:p>
        </w:tc>
        <w:tc>
          <w:tcPr>
            <w:tcW w:w="1799" w:type="dxa"/>
            <w:noWrap w:val="0"/>
            <w:vAlign w:val="center"/>
          </w:tcPr>
          <w:p>
            <w:pPr>
              <w:adjustRightInd w:val="0"/>
              <w:snapToGrid w:val="0"/>
              <w:spacing w:line="300" w:lineRule="auto"/>
              <w:jc w:val="center"/>
              <w:rPr>
                <w:rFonts w:hint="eastAsia" w:ascii="宋体" w:hAnsi="宋体" w:eastAsia="宋体" w:cs="宋体"/>
                <w:b/>
                <w:color w:val="auto"/>
                <w:w w:val="98"/>
                <w:szCs w:val="21"/>
                <w:highlight w:val="none"/>
              </w:rPr>
            </w:pPr>
            <w:r>
              <w:rPr>
                <w:rFonts w:hint="eastAsia" w:ascii="宋体" w:hAnsi="宋体" w:eastAsia="宋体" w:cs="宋体"/>
                <w:b/>
                <w:color w:val="auto"/>
                <w:w w:val="98"/>
                <w:sz w:val="22"/>
                <w:szCs w:val="21"/>
                <w:highlight w:val="none"/>
              </w:rPr>
              <w:t>条款内容</w:t>
            </w:r>
          </w:p>
        </w:tc>
        <w:tc>
          <w:tcPr>
            <w:tcW w:w="6026" w:type="dxa"/>
            <w:noWrap w:val="0"/>
            <w:vAlign w:val="center"/>
          </w:tcPr>
          <w:p>
            <w:pPr>
              <w:adjustRightInd w:val="0"/>
              <w:snapToGrid w:val="0"/>
              <w:spacing w:line="300" w:lineRule="auto"/>
              <w:jc w:val="center"/>
              <w:rPr>
                <w:rFonts w:hint="eastAsia" w:ascii="宋体" w:hAnsi="宋体" w:eastAsia="宋体" w:cs="宋体"/>
                <w:b/>
                <w:color w:val="auto"/>
                <w:w w:val="98"/>
                <w:szCs w:val="21"/>
                <w:highlight w:val="none"/>
              </w:rPr>
            </w:pPr>
            <w:r>
              <w:rPr>
                <w:rFonts w:hint="eastAsia" w:ascii="宋体" w:hAnsi="宋体" w:eastAsia="宋体" w:cs="宋体"/>
                <w:b/>
                <w:color w:val="auto"/>
                <w:w w:val="98"/>
                <w:sz w:val="22"/>
                <w:szCs w:val="21"/>
                <w:highlight w:val="none"/>
              </w:rPr>
              <w:t>编列内容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1247" w:type="dxa"/>
            <w:noWrap w:val="0"/>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 w:val="22"/>
                <w:szCs w:val="21"/>
                <w:highlight w:val="none"/>
              </w:rPr>
              <w:t>2.2.1</w:t>
            </w:r>
          </w:p>
        </w:tc>
        <w:tc>
          <w:tcPr>
            <w:tcW w:w="1799" w:type="dxa"/>
            <w:noWrap w:val="0"/>
            <w:vAlign w:val="center"/>
          </w:tcPr>
          <w:p>
            <w:pPr>
              <w:adjustRightInd w:val="0"/>
              <w:snapToGrid w:val="0"/>
              <w:spacing w:line="288" w:lineRule="auto"/>
              <w:jc w:val="center"/>
              <w:rPr>
                <w:rFonts w:hint="eastAsia" w:ascii="宋体" w:hAnsi="宋体" w:eastAsia="宋体" w:cs="宋体"/>
                <w:color w:val="auto"/>
                <w:sz w:val="22"/>
                <w:szCs w:val="21"/>
                <w:highlight w:val="none"/>
              </w:rPr>
            </w:pPr>
            <w:r>
              <w:rPr>
                <w:rFonts w:hint="eastAsia" w:ascii="宋体" w:hAnsi="宋体" w:eastAsia="宋体" w:cs="宋体"/>
                <w:color w:val="auto"/>
                <w:sz w:val="22"/>
                <w:szCs w:val="21"/>
                <w:highlight w:val="none"/>
              </w:rPr>
              <w:t>分值构成</w:t>
            </w:r>
          </w:p>
          <w:p>
            <w:pPr>
              <w:adjustRightInd w:val="0"/>
              <w:snapToGrid w:val="0"/>
              <w:spacing w:line="288" w:lineRule="auto"/>
              <w:jc w:val="center"/>
              <w:rPr>
                <w:rFonts w:hint="eastAsia" w:ascii="宋体" w:hAnsi="宋体" w:eastAsia="宋体" w:cs="宋体"/>
                <w:color w:val="auto"/>
                <w:szCs w:val="21"/>
                <w:highlight w:val="none"/>
              </w:rPr>
            </w:pPr>
            <w:r>
              <w:rPr>
                <w:rFonts w:hint="eastAsia" w:ascii="宋体" w:hAnsi="宋体" w:eastAsia="宋体" w:cs="宋体"/>
                <w:color w:val="auto"/>
                <w:sz w:val="22"/>
                <w:szCs w:val="21"/>
                <w:highlight w:val="none"/>
              </w:rPr>
              <w:t>（总分100分）</w:t>
            </w:r>
          </w:p>
        </w:tc>
        <w:tc>
          <w:tcPr>
            <w:tcW w:w="6026" w:type="dxa"/>
            <w:noWrap w:val="0"/>
            <w:vAlign w:val="center"/>
          </w:tcPr>
          <w:p>
            <w:pPr>
              <w:adjustRightInd w:val="0"/>
              <w:snapToGrid w:val="0"/>
              <w:spacing w:line="288" w:lineRule="auto"/>
              <w:jc w:val="both"/>
              <w:rPr>
                <w:rFonts w:hint="eastAsia" w:ascii="宋体" w:hAnsi="宋体" w:eastAsia="宋体" w:cs="宋体"/>
                <w:color w:val="auto"/>
                <w:sz w:val="22"/>
                <w:szCs w:val="21"/>
                <w:highlight w:val="none"/>
              </w:rPr>
            </w:pPr>
            <w:r>
              <w:rPr>
                <w:rFonts w:hint="eastAsia" w:ascii="宋体" w:hAnsi="宋体" w:eastAsia="宋体" w:cs="宋体"/>
                <w:color w:val="auto"/>
                <w:sz w:val="22"/>
                <w:szCs w:val="21"/>
                <w:highlight w:val="none"/>
              </w:rPr>
              <w:t>评标价：60分</w:t>
            </w:r>
          </w:p>
          <w:p>
            <w:pPr>
              <w:adjustRightInd w:val="0"/>
              <w:snapToGrid w:val="0"/>
              <w:spacing w:line="288" w:lineRule="auto"/>
              <w:jc w:val="both"/>
              <w:rPr>
                <w:rFonts w:hint="eastAsia" w:ascii="宋体" w:hAnsi="宋体" w:eastAsia="宋体" w:cs="宋体"/>
                <w:color w:val="auto"/>
                <w:szCs w:val="21"/>
                <w:highlight w:val="none"/>
              </w:rPr>
            </w:pPr>
            <w:r>
              <w:rPr>
                <w:rFonts w:hint="eastAsia" w:ascii="宋体" w:hAnsi="宋体" w:eastAsia="宋体" w:cs="宋体"/>
                <w:color w:val="auto"/>
                <w:sz w:val="22"/>
                <w:szCs w:val="21"/>
                <w:highlight w:val="none"/>
              </w:rPr>
              <w:t>技术性能：40分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1247" w:type="dxa"/>
            <w:noWrap w:val="0"/>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 w:val="22"/>
                <w:szCs w:val="21"/>
                <w:highlight w:val="none"/>
              </w:rPr>
              <w:t>2.2.2</w:t>
            </w:r>
          </w:p>
        </w:tc>
        <w:tc>
          <w:tcPr>
            <w:tcW w:w="1799" w:type="dxa"/>
            <w:noWrap w:val="0"/>
            <w:vAlign w:val="center"/>
          </w:tcPr>
          <w:p>
            <w:pPr>
              <w:adjustRightInd w:val="0"/>
              <w:snapToGrid w:val="0"/>
              <w:spacing w:line="288" w:lineRule="auto"/>
              <w:jc w:val="center"/>
              <w:rPr>
                <w:rFonts w:hint="eastAsia" w:ascii="宋体" w:hAnsi="宋体" w:eastAsia="宋体" w:cs="宋体"/>
                <w:color w:val="auto"/>
                <w:szCs w:val="21"/>
                <w:highlight w:val="none"/>
              </w:rPr>
            </w:pPr>
            <w:r>
              <w:rPr>
                <w:rFonts w:hint="eastAsia" w:ascii="宋体" w:hAnsi="宋体" w:eastAsia="宋体" w:cs="宋体"/>
                <w:color w:val="auto"/>
                <w:sz w:val="22"/>
                <w:szCs w:val="21"/>
                <w:highlight w:val="none"/>
              </w:rPr>
              <w:t>评标基准价计算方法</w:t>
            </w:r>
          </w:p>
        </w:tc>
        <w:tc>
          <w:tcPr>
            <w:tcW w:w="6026" w:type="dxa"/>
            <w:noWrap w:val="0"/>
            <w:vAlign w:val="center"/>
          </w:tcPr>
          <w:p>
            <w:pPr>
              <w:adjustRightInd w:val="0"/>
              <w:snapToGrid w:val="0"/>
              <w:spacing w:line="288" w:lineRule="auto"/>
              <w:jc w:val="both"/>
              <w:rPr>
                <w:rFonts w:hint="eastAsia" w:ascii="宋体" w:hAnsi="宋体" w:eastAsia="宋体" w:cs="宋体"/>
                <w:color w:val="auto"/>
                <w:sz w:val="22"/>
                <w:szCs w:val="21"/>
                <w:highlight w:val="none"/>
              </w:rPr>
            </w:pPr>
            <w:r>
              <w:rPr>
                <w:rFonts w:hint="eastAsia" w:ascii="宋体" w:hAnsi="宋体" w:eastAsia="宋体" w:cs="宋体"/>
                <w:color w:val="auto"/>
                <w:sz w:val="22"/>
                <w:szCs w:val="21"/>
                <w:highlight w:val="none"/>
              </w:rPr>
              <w:t>评标基准价的计算：</w:t>
            </w:r>
          </w:p>
          <w:p>
            <w:pPr>
              <w:adjustRightInd w:val="0"/>
              <w:snapToGrid w:val="0"/>
              <w:spacing w:line="288" w:lineRule="auto"/>
              <w:jc w:val="both"/>
              <w:rPr>
                <w:rFonts w:hint="eastAsia" w:ascii="宋体" w:hAnsi="宋体" w:eastAsia="宋体" w:cs="宋体"/>
                <w:color w:val="auto"/>
                <w:sz w:val="22"/>
                <w:szCs w:val="21"/>
                <w:highlight w:val="none"/>
              </w:rPr>
            </w:pPr>
            <w:r>
              <w:rPr>
                <w:rFonts w:hint="eastAsia" w:ascii="宋体" w:hAnsi="宋体" w:eastAsia="宋体" w:cs="宋体"/>
                <w:color w:val="auto"/>
                <w:sz w:val="22"/>
                <w:szCs w:val="21"/>
                <w:highlight w:val="none"/>
              </w:rPr>
              <w:t>（1）评标价的确定：</w:t>
            </w:r>
          </w:p>
          <w:p>
            <w:pPr>
              <w:adjustRightInd w:val="0"/>
              <w:snapToGrid w:val="0"/>
              <w:spacing w:line="288" w:lineRule="auto"/>
              <w:ind w:firstLine="220" w:firstLineChars="100"/>
              <w:jc w:val="both"/>
              <w:rPr>
                <w:rFonts w:hint="eastAsia" w:ascii="宋体" w:hAnsi="宋体" w:eastAsia="宋体" w:cs="宋体"/>
                <w:color w:val="auto"/>
                <w:sz w:val="22"/>
                <w:szCs w:val="21"/>
                <w:highlight w:val="none"/>
              </w:rPr>
            </w:pPr>
            <w:r>
              <w:rPr>
                <w:rFonts w:hint="eastAsia" w:ascii="宋体" w:hAnsi="宋体" w:eastAsia="宋体" w:cs="宋体"/>
                <w:color w:val="auto"/>
                <w:sz w:val="22"/>
                <w:szCs w:val="21"/>
                <w:highlight w:val="none"/>
              </w:rPr>
              <w:t>评标价＝投标函文字报价</w:t>
            </w:r>
          </w:p>
          <w:p>
            <w:pPr>
              <w:adjustRightInd w:val="0"/>
              <w:snapToGrid w:val="0"/>
              <w:spacing w:line="288" w:lineRule="auto"/>
              <w:jc w:val="both"/>
              <w:rPr>
                <w:rFonts w:hint="eastAsia" w:ascii="宋体" w:hAnsi="宋体" w:eastAsia="宋体" w:cs="宋体"/>
                <w:color w:val="auto"/>
                <w:sz w:val="22"/>
                <w:szCs w:val="21"/>
                <w:highlight w:val="none"/>
              </w:rPr>
            </w:pPr>
            <w:r>
              <w:rPr>
                <w:rFonts w:hint="eastAsia" w:ascii="宋体" w:hAnsi="宋体" w:eastAsia="宋体" w:cs="宋体"/>
                <w:color w:val="auto"/>
                <w:sz w:val="22"/>
                <w:szCs w:val="21"/>
                <w:highlight w:val="none"/>
              </w:rPr>
              <w:t>（2）评标基准价的确定：</w:t>
            </w:r>
          </w:p>
          <w:p>
            <w:pPr>
              <w:adjustRightInd w:val="0"/>
              <w:snapToGrid w:val="0"/>
              <w:spacing w:line="288" w:lineRule="auto"/>
              <w:ind w:firstLine="440" w:firstLineChars="200"/>
              <w:jc w:val="both"/>
              <w:rPr>
                <w:rFonts w:hint="eastAsia" w:ascii="宋体" w:hAnsi="宋体" w:eastAsia="宋体" w:cs="宋体"/>
                <w:color w:val="auto"/>
                <w:sz w:val="22"/>
                <w:szCs w:val="21"/>
                <w:highlight w:val="none"/>
              </w:rPr>
            </w:pPr>
            <w:r>
              <w:rPr>
                <w:rFonts w:hint="eastAsia" w:ascii="宋体" w:hAnsi="宋体" w:eastAsia="宋体" w:cs="宋体"/>
                <w:color w:val="auto"/>
                <w:sz w:val="22"/>
                <w:szCs w:val="22"/>
                <w:highlight w:val="none"/>
              </w:rPr>
              <w:t>除按第二章“投标人须知”第5.2.4项规定开标现场被宣布为不进入评标基准价计算的投标报价之外，投标人的评标价去除</w:t>
            </w:r>
            <w:r>
              <w:rPr>
                <w:rFonts w:hint="eastAsia" w:ascii="宋体" w:hAnsi="宋体" w:eastAsia="宋体" w:cs="宋体"/>
                <w:color w:val="auto"/>
                <w:sz w:val="22"/>
                <w:szCs w:val="21"/>
                <w:highlight w:val="none"/>
              </w:rPr>
              <w:t>一个最高值和一个最低值后的算数平均值（如果参与评标价基准价计算的有效投标人少于等于 5 家时，则不去除最高值和最低值）即为评标基准价。</w:t>
            </w:r>
          </w:p>
          <w:p>
            <w:pPr>
              <w:adjustRightInd w:val="0"/>
              <w:snapToGrid w:val="0"/>
              <w:spacing w:line="288" w:lineRule="auto"/>
              <w:ind w:firstLine="440" w:firstLineChars="200"/>
              <w:jc w:val="both"/>
              <w:rPr>
                <w:rFonts w:hint="eastAsia" w:ascii="宋体" w:hAnsi="宋体" w:eastAsia="宋体" w:cs="宋体"/>
                <w:color w:val="auto"/>
                <w:sz w:val="22"/>
                <w:szCs w:val="21"/>
                <w:highlight w:val="none"/>
              </w:rPr>
            </w:pPr>
            <w:r>
              <w:rPr>
                <w:rFonts w:hint="eastAsia" w:ascii="宋体" w:hAnsi="宋体" w:eastAsia="宋体" w:cs="宋体"/>
                <w:color w:val="auto"/>
                <w:sz w:val="22"/>
                <w:szCs w:val="22"/>
                <w:highlight w:val="none"/>
              </w:rPr>
              <w:t>在评标过程中，评标委员会应对招标人计算的评标基准价进行复核，存在计算错误的应予以修正并在评标报告中作出说明。除此之外，评标基准价在整个评标期间保持不变，不随任何因素发生变化。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247" w:type="dxa"/>
            <w:noWrap w:val="0"/>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 w:val="22"/>
                <w:szCs w:val="21"/>
                <w:highlight w:val="none"/>
              </w:rPr>
              <w:t>2.2.3</w:t>
            </w:r>
          </w:p>
        </w:tc>
        <w:tc>
          <w:tcPr>
            <w:tcW w:w="1799" w:type="dxa"/>
            <w:noWrap w:val="0"/>
            <w:vAlign w:val="center"/>
          </w:tcPr>
          <w:p>
            <w:pPr>
              <w:adjustRightInd w:val="0"/>
              <w:snapToGrid w:val="0"/>
              <w:spacing w:line="288" w:lineRule="auto"/>
              <w:jc w:val="center"/>
              <w:rPr>
                <w:rFonts w:hint="eastAsia" w:ascii="宋体" w:hAnsi="宋体" w:eastAsia="宋体" w:cs="宋体"/>
                <w:color w:val="auto"/>
                <w:szCs w:val="21"/>
                <w:highlight w:val="none"/>
              </w:rPr>
            </w:pPr>
            <w:r>
              <w:rPr>
                <w:rFonts w:hint="eastAsia" w:ascii="宋体" w:hAnsi="宋体" w:eastAsia="宋体" w:cs="宋体"/>
                <w:color w:val="auto"/>
                <w:sz w:val="22"/>
                <w:szCs w:val="21"/>
                <w:highlight w:val="none"/>
              </w:rPr>
              <w:t>评标价的偏差率计算公式</w:t>
            </w:r>
          </w:p>
        </w:tc>
        <w:tc>
          <w:tcPr>
            <w:tcW w:w="6026" w:type="dxa"/>
            <w:noWrap w:val="0"/>
            <w:vAlign w:val="center"/>
          </w:tcPr>
          <w:p>
            <w:pPr>
              <w:adjustRightInd w:val="0"/>
              <w:snapToGrid w:val="0"/>
              <w:spacing w:line="288" w:lineRule="auto"/>
              <w:jc w:val="both"/>
              <w:rPr>
                <w:rFonts w:hint="eastAsia" w:ascii="宋体" w:hAnsi="宋体" w:eastAsia="宋体" w:cs="宋体"/>
                <w:color w:val="auto"/>
                <w:sz w:val="22"/>
                <w:szCs w:val="21"/>
                <w:highlight w:val="none"/>
              </w:rPr>
            </w:pPr>
            <w:r>
              <w:rPr>
                <w:rFonts w:hint="eastAsia" w:ascii="宋体" w:hAnsi="宋体" w:eastAsia="宋体" w:cs="宋体"/>
                <w:color w:val="auto"/>
                <w:sz w:val="22"/>
                <w:szCs w:val="21"/>
                <w:highlight w:val="none"/>
              </w:rPr>
              <w:t>偏差率=100%×（投标人评标价－评标基准价）/评标基准价</w:t>
            </w:r>
          </w:p>
          <w:p>
            <w:pPr>
              <w:adjustRightInd w:val="0"/>
              <w:snapToGrid w:val="0"/>
              <w:spacing w:line="288" w:lineRule="auto"/>
              <w:jc w:val="both"/>
              <w:rPr>
                <w:rFonts w:hint="eastAsia" w:ascii="宋体" w:hAnsi="宋体" w:eastAsia="宋体" w:cs="宋体"/>
                <w:color w:val="auto"/>
                <w:sz w:val="22"/>
                <w:szCs w:val="21"/>
                <w:highlight w:val="none"/>
              </w:rPr>
            </w:pPr>
          </w:p>
        </w:tc>
      </w:tr>
    </w:tbl>
    <w:p>
      <w:pPr>
        <w:spacing w:line="360" w:lineRule="exact"/>
        <w:rPr>
          <w:rFonts w:hint="eastAsia" w:ascii="宋体" w:hAnsi="宋体" w:eastAsia="宋体" w:cs="宋体"/>
          <w:b/>
          <w:bCs/>
          <w:color w:val="auto"/>
          <w:sz w:val="24"/>
          <w:highlight w:val="none"/>
        </w:rPr>
      </w:pPr>
    </w:p>
    <w:tbl>
      <w:tblPr>
        <w:tblStyle w:val="9"/>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53"/>
        <w:gridCol w:w="554"/>
        <w:gridCol w:w="1650"/>
        <w:gridCol w:w="1186"/>
        <w:gridCol w:w="462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053" w:type="dxa"/>
            <w:noWrap w:val="0"/>
            <w:vAlign w:val="center"/>
          </w:tcPr>
          <w:p>
            <w:pPr>
              <w:snapToGrid w:val="0"/>
              <w:spacing w:line="288" w:lineRule="auto"/>
              <w:jc w:val="center"/>
              <w:rPr>
                <w:rFonts w:hint="eastAsia" w:ascii="宋体" w:hAnsi="宋体" w:eastAsia="宋体" w:cs="宋体"/>
                <w:color w:val="auto"/>
                <w:szCs w:val="21"/>
                <w:highlight w:val="none"/>
              </w:rPr>
            </w:pPr>
            <w:r>
              <w:rPr>
                <w:rFonts w:hint="eastAsia" w:ascii="宋体" w:hAnsi="宋体" w:eastAsia="宋体" w:cs="宋体"/>
                <w:b/>
                <w:bCs/>
                <w:color w:val="auto"/>
                <w:sz w:val="22"/>
                <w:szCs w:val="21"/>
                <w:highlight w:val="none"/>
              </w:rPr>
              <w:t>条款号</w:t>
            </w:r>
          </w:p>
        </w:tc>
        <w:tc>
          <w:tcPr>
            <w:tcW w:w="2204" w:type="dxa"/>
            <w:gridSpan w:val="2"/>
            <w:noWrap w:val="0"/>
            <w:vAlign w:val="center"/>
          </w:tcPr>
          <w:p>
            <w:pPr>
              <w:snapToGrid w:val="0"/>
              <w:spacing w:line="288" w:lineRule="auto"/>
              <w:jc w:val="center"/>
              <w:rPr>
                <w:rFonts w:hint="eastAsia" w:ascii="宋体" w:hAnsi="宋体" w:eastAsia="宋体" w:cs="宋体"/>
                <w:color w:val="auto"/>
                <w:szCs w:val="21"/>
                <w:highlight w:val="none"/>
              </w:rPr>
            </w:pPr>
            <w:r>
              <w:rPr>
                <w:rFonts w:hint="eastAsia" w:ascii="宋体" w:hAnsi="宋体" w:eastAsia="宋体" w:cs="宋体"/>
                <w:b/>
                <w:bCs/>
                <w:color w:val="auto"/>
                <w:sz w:val="22"/>
                <w:szCs w:val="21"/>
                <w:highlight w:val="none"/>
              </w:rPr>
              <w:t>评分因素</w:t>
            </w:r>
          </w:p>
        </w:tc>
        <w:tc>
          <w:tcPr>
            <w:tcW w:w="1186" w:type="dxa"/>
            <w:noWrap w:val="0"/>
            <w:vAlign w:val="center"/>
          </w:tcPr>
          <w:p>
            <w:pPr>
              <w:snapToGrid w:val="0"/>
              <w:spacing w:line="288" w:lineRule="auto"/>
              <w:jc w:val="center"/>
              <w:rPr>
                <w:rFonts w:hint="eastAsia" w:ascii="宋体" w:hAnsi="宋体" w:eastAsia="宋体" w:cs="宋体"/>
                <w:color w:val="auto"/>
                <w:szCs w:val="21"/>
                <w:highlight w:val="none"/>
              </w:rPr>
            </w:pPr>
            <w:r>
              <w:rPr>
                <w:rFonts w:hint="eastAsia" w:ascii="宋体" w:hAnsi="宋体" w:eastAsia="宋体" w:cs="宋体"/>
                <w:b/>
                <w:bCs/>
                <w:color w:val="auto"/>
                <w:sz w:val="22"/>
                <w:szCs w:val="21"/>
                <w:highlight w:val="none"/>
              </w:rPr>
              <w:t>权重分值</w:t>
            </w:r>
          </w:p>
        </w:tc>
        <w:tc>
          <w:tcPr>
            <w:tcW w:w="4629" w:type="dxa"/>
            <w:noWrap w:val="0"/>
            <w:vAlign w:val="center"/>
          </w:tcPr>
          <w:p>
            <w:pPr>
              <w:snapToGrid w:val="0"/>
              <w:spacing w:line="288" w:lineRule="auto"/>
              <w:jc w:val="center"/>
              <w:rPr>
                <w:rFonts w:hint="eastAsia" w:ascii="宋体" w:hAnsi="宋体" w:eastAsia="宋体" w:cs="宋体"/>
                <w:color w:val="auto"/>
                <w:szCs w:val="21"/>
                <w:highlight w:val="none"/>
              </w:rPr>
            </w:pPr>
            <w:r>
              <w:rPr>
                <w:rFonts w:hint="eastAsia" w:ascii="宋体" w:hAnsi="宋体" w:eastAsia="宋体" w:cs="宋体"/>
                <w:b/>
                <w:bCs/>
                <w:color w:val="auto"/>
                <w:sz w:val="22"/>
                <w:szCs w:val="21"/>
                <w:highlight w:val="none"/>
              </w:rPr>
              <w:t>各评分因素细分项分值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53" w:type="dxa"/>
            <w:noWrap w:val="0"/>
            <w:vAlign w:val="center"/>
          </w:tcPr>
          <w:p>
            <w:pPr>
              <w:snapToGrid w:val="0"/>
              <w:spacing w:line="288" w:lineRule="auto"/>
              <w:jc w:val="center"/>
              <w:rPr>
                <w:rFonts w:hint="eastAsia" w:ascii="宋体" w:hAnsi="宋体" w:eastAsia="宋体" w:cs="宋体"/>
                <w:color w:val="auto"/>
                <w:szCs w:val="21"/>
                <w:highlight w:val="none"/>
              </w:rPr>
            </w:pPr>
            <w:r>
              <w:rPr>
                <w:rFonts w:hint="eastAsia" w:ascii="宋体" w:hAnsi="宋体" w:eastAsia="宋体" w:cs="宋体"/>
                <w:color w:val="auto"/>
                <w:sz w:val="22"/>
                <w:szCs w:val="21"/>
                <w:highlight w:val="none"/>
              </w:rPr>
              <w:t>2.2.4（1）</w:t>
            </w:r>
          </w:p>
        </w:tc>
        <w:tc>
          <w:tcPr>
            <w:tcW w:w="2204" w:type="dxa"/>
            <w:gridSpan w:val="2"/>
            <w:noWrap w:val="0"/>
            <w:vAlign w:val="center"/>
          </w:tcPr>
          <w:p>
            <w:pPr>
              <w:snapToGrid w:val="0"/>
              <w:spacing w:line="288" w:lineRule="auto"/>
              <w:jc w:val="center"/>
              <w:rPr>
                <w:rFonts w:hint="eastAsia" w:ascii="宋体" w:hAnsi="宋体" w:eastAsia="宋体" w:cs="宋体"/>
                <w:color w:val="auto"/>
                <w:szCs w:val="21"/>
                <w:highlight w:val="none"/>
              </w:rPr>
            </w:pPr>
            <w:r>
              <w:rPr>
                <w:rFonts w:hint="eastAsia" w:ascii="宋体" w:hAnsi="宋体" w:eastAsia="宋体" w:cs="宋体"/>
                <w:color w:val="auto"/>
                <w:sz w:val="22"/>
                <w:szCs w:val="21"/>
                <w:highlight w:val="none"/>
              </w:rPr>
              <w:t>评标价评分标准</w:t>
            </w:r>
          </w:p>
        </w:tc>
        <w:tc>
          <w:tcPr>
            <w:tcW w:w="1186" w:type="dxa"/>
            <w:noWrap w:val="0"/>
            <w:vAlign w:val="center"/>
          </w:tcPr>
          <w:p>
            <w:pPr>
              <w:snapToGrid w:val="0"/>
              <w:spacing w:line="288" w:lineRule="auto"/>
              <w:jc w:val="center"/>
              <w:rPr>
                <w:rFonts w:hint="eastAsia" w:ascii="宋体" w:hAnsi="宋体" w:eastAsia="宋体" w:cs="宋体"/>
                <w:color w:val="auto"/>
                <w:szCs w:val="21"/>
                <w:highlight w:val="none"/>
              </w:rPr>
            </w:pPr>
            <w:r>
              <w:rPr>
                <w:rFonts w:hint="eastAsia" w:ascii="宋体" w:hAnsi="宋体" w:eastAsia="宋体" w:cs="宋体"/>
                <w:color w:val="auto"/>
                <w:sz w:val="22"/>
                <w:szCs w:val="21"/>
                <w:highlight w:val="none"/>
                <w:u w:val="single"/>
              </w:rPr>
              <w:t>60</w:t>
            </w:r>
            <w:r>
              <w:rPr>
                <w:rFonts w:hint="eastAsia" w:ascii="宋体" w:hAnsi="宋体" w:eastAsia="宋体" w:cs="宋体"/>
                <w:color w:val="auto"/>
                <w:sz w:val="22"/>
                <w:szCs w:val="21"/>
                <w:highlight w:val="none"/>
              </w:rPr>
              <w:t>分</w:t>
            </w:r>
          </w:p>
        </w:tc>
        <w:tc>
          <w:tcPr>
            <w:tcW w:w="4629" w:type="dxa"/>
            <w:noWrap w:val="0"/>
            <w:vAlign w:val="center"/>
          </w:tcPr>
          <w:p>
            <w:pPr>
              <w:adjustRightInd w:val="0"/>
              <w:snapToGrid w:val="0"/>
              <w:spacing w:line="288" w:lineRule="auto"/>
              <w:rPr>
                <w:rFonts w:hint="eastAsia" w:ascii="宋体" w:hAnsi="宋体" w:eastAsia="宋体" w:cs="宋体"/>
                <w:color w:val="auto"/>
                <w:sz w:val="22"/>
                <w:szCs w:val="21"/>
                <w:highlight w:val="none"/>
              </w:rPr>
            </w:pPr>
            <w:r>
              <w:rPr>
                <w:rFonts w:hint="eastAsia" w:ascii="宋体" w:hAnsi="宋体" w:eastAsia="宋体" w:cs="宋体"/>
                <w:color w:val="auto"/>
                <w:sz w:val="22"/>
                <w:szCs w:val="21"/>
                <w:highlight w:val="none"/>
              </w:rPr>
              <w:t>评标价得分计算公式示例：</w:t>
            </w:r>
          </w:p>
          <w:p>
            <w:pPr>
              <w:adjustRightInd w:val="0"/>
              <w:snapToGrid w:val="0"/>
              <w:spacing w:line="288" w:lineRule="auto"/>
              <w:rPr>
                <w:rFonts w:hint="eastAsia" w:ascii="宋体" w:hAnsi="宋体" w:eastAsia="宋体" w:cs="宋体"/>
                <w:color w:val="auto"/>
                <w:sz w:val="22"/>
                <w:szCs w:val="21"/>
                <w:highlight w:val="none"/>
              </w:rPr>
            </w:pPr>
            <w:r>
              <w:rPr>
                <w:rFonts w:hint="eastAsia" w:ascii="宋体" w:hAnsi="宋体" w:eastAsia="宋体" w:cs="宋体"/>
                <w:color w:val="auto"/>
                <w:sz w:val="22"/>
                <w:szCs w:val="21"/>
                <w:highlight w:val="none"/>
              </w:rPr>
              <w:t>（1）如果投标人的评标价&gt;评标基准价，则评标价得分＝57.5－|偏差率|×100×0.25；</w:t>
            </w:r>
          </w:p>
          <w:p>
            <w:pPr>
              <w:adjustRightInd w:val="0"/>
              <w:snapToGrid w:val="0"/>
              <w:spacing w:line="288" w:lineRule="auto"/>
              <w:rPr>
                <w:rFonts w:hint="eastAsia" w:ascii="宋体" w:hAnsi="宋体" w:eastAsia="宋体" w:cs="宋体"/>
                <w:color w:val="auto"/>
                <w:sz w:val="22"/>
                <w:szCs w:val="21"/>
                <w:highlight w:val="none"/>
              </w:rPr>
            </w:pPr>
            <w:r>
              <w:rPr>
                <w:rFonts w:hint="eastAsia" w:ascii="宋体" w:hAnsi="宋体" w:eastAsia="宋体" w:cs="宋体"/>
                <w:color w:val="auto"/>
                <w:sz w:val="22"/>
                <w:szCs w:val="21"/>
                <w:highlight w:val="none"/>
              </w:rPr>
              <w:t>（2）如果投标人的评标价≤评标基准价，则评标价得分＝57.5+|偏差率|×100×0.25。</w:t>
            </w:r>
          </w:p>
          <w:p>
            <w:pPr>
              <w:adjustRightInd w:val="0"/>
              <w:snapToGrid w:val="0"/>
              <w:spacing w:line="288" w:lineRule="auto"/>
              <w:ind w:firstLine="220" w:firstLineChars="100"/>
              <w:rPr>
                <w:rFonts w:hint="eastAsia" w:ascii="宋体" w:hAnsi="宋体" w:eastAsia="宋体" w:cs="宋体"/>
                <w:color w:val="auto"/>
                <w:sz w:val="22"/>
                <w:szCs w:val="21"/>
                <w:highlight w:val="none"/>
              </w:rPr>
            </w:pPr>
            <w:r>
              <w:rPr>
                <w:rFonts w:hint="eastAsia" w:ascii="宋体" w:hAnsi="宋体" w:eastAsia="宋体" w:cs="宋体"/>
                <w:color w:val="auto"/>
                <w:sz w:val="22"/>
                <w:szCs w:val="21"/>
                <w:highlight w:val="none"/>
              </w:rPr>
              <w:t>最高得分为60分，最低得分为0分。</w:t>
            </w:r>
          </w:p>
          <w:p>
            <w:pPr>
              <w:snapToGrid w:val="0"/>
              <w:spacing w:line="288" w:lineRule="auto"/>
              <w:rPr>
                <w:rFonts w:hint="eastAsia" w:ascii="宋体" w:hAnsi="宋体" w:eastAsia="宋体" w:cs="宋体"/>
                <w:color w:val="auto"/>
                <w:szCs w:val="21"/>
                <w:highlight w:val="none"/>
              </w:rPr>
            </w:pPr>
            <w:r>
              <w:rPr>
                <w:rFonts w:hint="eastAsia" w:ascii="宋体" w:hAnsi="宋体" w:eastAsia="宋体" w:cs="宋体"/>
                <w:color w:val="auto"/>
                <w:sz w:val="22"/>
                <w:szCs w:val="21"/>
                <w:highlight w:val="none"/>
              </w:rPr>
              <w:t>评标价得分按四舍五入规则保留小数点后2位小数。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53" w:type="dxa"/>
            <w:vMerge w:val="restart"/>
            <w:noWrap w:val="0"/>
            <w:vAlign w:val="center"/>
          </w:tcPr>
          <w:p>
            <w:pPr>
              <w:snapToGrid w:val="0"/>
              <w:spacing w:line="288" w:lineRule="auto"/>
              <w:jc w:val="center"/>
              <w:rPr>
                <w:rFonts w:hint="eastAsia" w:ascii="宋体" w:hAnsi="宋体" w:eastAsia="宋体" w:cs="宋体"/>
                <w:color w:val="auto"/>
                <w:szCs w:val="21"/>
                <w:highlight w:val="none"/>
              </w:rPr>
            </w:pPr>
            <w:r>
              <w:rPr>
                <w:rFonts w:hint="eastAsia" w:ascii="宋体" w:hAnsi="宋体" w:eastAsia="宋体" w:cs="宋体"/>
                <w:color w:val="auto"/>
                <w:sz w:val="22"/>
                <w:szCs w:val="21"/>
                <w:highlight w:val="none"/>
              </w:rPr>
              <w:t>2.2.4（2）</w:t>
            </w:r>
          </w:p>
        </w:tc>
        <w:tc>
          <w:tcPr>
            <w:tcW w:w="554" w:type="dxa"/>
            <w:vMerge w:val="restart"/>
            <w:noWrap w:val="0"/>
            <w:vAlign w:val="center"/>
          </w:tcPr>
          <w:p>
            <w:pPr>
              <w:adjustRightInd w:val="0"/>
              <w:snapToGrid w:val="0"/>
              <w:spacing w:line="288" w:lineRule="auto"/>
              <w:jc w:val="center"/>
              <w:rPr>
                <w:rFonts w:hint="eastAsia" w:ascii="宋体" w:hAnsi="宋体" w:eastAsia="宋体" w:cs="宋体"/>
                <w:color w:val="auto"/>
                <w:szCs w:val="21"/>
                <w:highlight w:val="none"/>
              </w:rPr>
            </w:pPr>
            <w:r>
              <w:rPr>
                <w:rFonts w:hint="eastAsia" w:ascii="宋体" w:hAnsi="宋体" w:eastAsia="宋体" w:cs="宋体"/>
                <w:color w:val="auto"/>
                <w:sz w:val="22"/>
                <w:szCs w:val="21"/>
                <w:highlight w:val="none"/>
              </w:rPr>
              <w:t>技术性能</w:t>
            </w:r>
          </w:p>
        </w:tc>
        <w:tc>
          <w:tcPr>
            <w:tcW w:w="1650" w:type="dxa"/>
            <w:noWrap w:val="0"/>
            <w:vAlign w:val="center"/>
          </w:tcPr>
          <w:p>
            <w:pPr>
              <w:snapToGrid w:val="0"/>
              <w:spacing w:line="288" w:lineRule="auto"/>
              <w:jc w:val="center"/>
              <w:rPr>
                <w:rFonts w:hint="eastAsia" w:ascii="宋体" w:hAnsi="宋体" w:eastAsia="宋体" w:cs="宋体"/>
                <w:color w:val="auto"/>
                <w:szCs w:val="21"/>
                <w:highlight w:val="none"/>
              </w:rPr>
            </w:pPr>
            <w:r>
              <w:rPr>
                <w:rFonts w:hint="eastAsia" w:ascii="宋体" w:hAnsi="宋体" w:eastAsia="宋体" w:cs="宋体"/>
                <w:color w:val="auto"/>
                <w:sz w:val="22"/>
                <w:szCs w:val="21"/>
                <w:highlight w:val="none"/>
              </w:rPr>
              <w:t>主车品质</w:t>
            </w:r>
          </w:p>
        </w:tc>
        <w:tc>
          <w:tcPr>
            <w:tcW w:w="1186" w:type="dxa"/>
            <w:noWrap w:val="0"/>
            <w:vAlign w:val="center"/>
          </w:tcPr>
          <w:p>
            <w:pPr>
              <w:snapToGrid w:val="0"/>
              <w:spacing w:line="288" w:lineRule="auto"/>
              <w:jc w:val="center"/>
              <w:rPr>
                <w:rFonts w:hint="eastAsia" w:ascii="宋体" w:hAnsi="宋体" w:eastAsia="宋体" w:cs="宋体"/>
                <w:color w:val="auto"/>
                <w:szCs w:val="21"/>
                <w:highlight w:val="none"/>
                <w:u w:val="single"/>
              </w:rPr>
            </w:pPr>
            <w:r>
              <w:rPr>
                <w:rFonts w:hint="eastAsia" w:ascii="宋体" w:hAnsi="宋体" w:eastAsia="宋体" w:cs="宋体"/>
                <w:color w:val="auto"/>
                <w:sz w:val="22"/>
                <w:szCs w:val="21"/>
                <w:highlight w:val="none"/>
                <w:u w:val="single"/>
              </w:rPr>
              <w:t>7分</w:t>
            </w:r>
          </w:p>
        </w:tc>
        <w:tc>
          <w:tcPr>
            <w:tcW w:w="4629" w:type="dxa"/>
            <w:noWrap w:val="0"/>
            <w:vAlign w:val="center"/>
          </w:tcPr>
          <w:p>
            <w:pPr>
              <w:snapToGrid w:val="0"/>
              <w:spacing w:line="288" w:lineRule="auto"/>
              <w:rPr>
                <w:rFonts w:hint="eastAsia" w:ascii="宋体" w:hAnsi="宋体" w:eastAsia="宋体" w:cs="宋体"/>
                <w:color w:val="auto"/>
                <w:szCs w:val="21"/>
                <w:highlight w:val="none"/>
              </w:rPr>
            </w:pPr>
            <w:r>
              <w:rPr>
                <w:rFonts w:hint="eastAsia" w:ascii="宋体" w:hAnsi="宋体" w:eastAsia="宋体" w:cs="宋体"/>
                <w:color w:val="auto"/>
                <w:sz w:val="22"/>
                <w:szCs w:val="21"/>
                <w:highlight w:val="none"/>
              </w:rPr>
              <w:t>满足招标文件要求的得4.5分，综合比较投标人所投产品主车品牌品质因素加0~2.5分。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53" w:type="dxa"/>
            <w:vMerge w:val="continue"/>
            <w:noWrap w:val="0"/>
            <w:vAlign w:val="center"/>
          </w:tcPr>
          <w:p>
            <w:pPr>
              <w:snapToGrid w:val="0"/>
              <w:spacing w:line="288" w:lineRule="auto"/>
              <w:jc w:val="center"/>
              <w:rPr>
                <w:rFonts w:hint="eastAsia" w:ascii="宋体" w:hAnsi="宋体" w:eastAsia="宋体" w:cs="宋体"/>
                <w:color w:val="auto"/>
                <w:szCs w:val="21"/>
                <w:highlight w:val="none"/>
              </w:rPr>
            </w:pPr>
          </w:p>
        </w:tc>
        <w:tc>
          <w:tcPr>
            <w:tcW w:w="554" w:type="dxa"/>
            <w:vMerge w:val="continue"/>
            <w:noWrap w:val="0"/>
            <w:vAlign w:val="center"/>
          </w:tcPr>
          <w:p>
            <w:pPr>
              <w:snapToGrid w:val="0"/>
              <w:spacing w:line="288" w:lineRule="auto"/>
              <w:jc w:val="center"/>
              <w:rPr>
                <w:rFonts w:hint="eastAsia" w:ascii="宋体" w:hAnsi="宋体" w:eastAsia="宋体" w:cs="宋体"/>
                <w:color w:val="auto"/>
                <w:szCs w:val="21"/>
                <w:highlight w:val="none"/>
              </w:rPr>
            </w:pPr>
          </w:p>
        </w:tc>
        <w:tc>
          <w:tcPr>
            <w:tcW w:w="1650" w:type="dxa"/>
            <w:noWrap w:val="0"/>
            <w:vAlign w:val="center"/>
          </w:tcPr>
          <w:p>
            <w:pPr>
              <w:snapToGrid w:val="0"/>
              <w:spacing w:line="288" w:lineRule="auto"/>
              <w:jc w:val="center"/>
              <w:rPr>
                <w:rFonts w:hint="eastAsia" w:ascii="宋体" w:hAnsi="宋体" w:eastAsia="宋体" w:cs="宋体"/>
                <w:color w:val="auto"/>
                <w:szCs w:val="21"/>
                <w:highlight w:val="none"/>
              </w:rPr>
            </w:pPr>
            <w:r>
              <w:rPr>
                <w:rFonts w:hint="eastAsia" w:ascii="宋体" w:hAnsi="宋体" w:eastAsia="宋体" w:cs="宋体"/>
                <w:color w:val="auto"/>
                <w:sz w:val="22"/>
                <w:szCs w:val="21"/>
                <w:highlight w:val="none"/>
              </w:rPr>
              <w:t>技术指标</w:t>
            </w:r>
          </w:p>
        </w:tc>
        <w:tc>
          <w:tcPr>
            <w:tcW w:w="1186" w:type="dxa"/>
            <w:noWrap w:val="0"/>
            <w:vAlign w:val="center"/>
          </w:tcPr>
          <w:p>
            <w:pPr>
              <w:snapToGrid w:val="0"/>
              <w:spacing w:line="288" w:lineRule="auto"/>
              <w:jc w:val="center"/>
              <w:rPr>
                <w:rFonts w:hint="eastAsia" w:ascii="宋体" w:hAnsi="宋体" w:eastAsia="宋体" w:cs="宋体"/>
                <w:color w:val="auto"/>
                <w:szCs w:val="21"/>
                <w:highlight w:val="none"/>
                <w:u w:val="single"/>
              </w:rPr>
            </w:pPr>
            <w:r>
              <w:rPr>
                <w:rFonts w:hint="eastAsia" w:ascii="宋体" w:hAnsi="宋体" w:eastAsia="宋体" w:cs="宋体"/>
                <w:color w:val="auto"/>
                <w:sz w:val="22"/>
                <w:szCs w:val="21"/>
                <w:highlight w:val="none"/>
                <w:u w:val="single"/>
              </w:rPr>
              <w:t>5分</w:t>
            </w:r>
          </w:p>
        </w:tc>
        <w:tc>
          <w:tcPr>
            <w:tcW w:w="4629" w:type="dxa"/>
            <w:noWrap w:val="0"/>
            <w:vAlign w:val="center"/>
          </w:tcPr>
          <w:p>
            <w:pPr>
              <w:snapToGrid w:val="0"/>
              <w:spacing w:line="288" w:lineRule="auto"/>
              <w:rPr>
                <w:rFonts w:hint="eastAsia" w:ascii="宋体" w:hAnsi="宋体" w:eastAsia="宋体" w:cs="宋体"/>
                <w:color w:val="auto"/>
                <w:szCs w:val="21"/>
                <w:highlight w:val="none"/>
              </w:rPr>
            </w:pPr>
            <w:r>
              <w:rPr>
                <w:rFonts w:hint="eastAsia" w:ascii="宋体" w:hAnsi="宋体" w:eastAsia="宋体" w:cs="宋体"/>
                <w:color w:val="auto"/>
                <w:sz w:val="22"/>
                <w:szCs w:val="21"/>
                <w:highlight w:val="none"/>
              </w:rPr>
              <w:t>满足招标文件要求的得3分，综合比较投标人所投产品技术指标因素加0~2分。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53" w:type="dxa"/>
            <w:vMerge w:val="continue"/>
            <w:noWrap w:val="0"/>
            <w:vAlign w:val="center"/>
          </w:tcPr>
          <w:p>
            <w:pPr>
              <w:snapToGrid w:val="0"/>
              <w:spacing w:line="288" w:lineRule="auto"/>
              <w:jc w:val="center"/>
              <w:rPr>
                <w:rFonts w:hint="eastAsia" w:ascii="宋体" w:hAnsi="宋体" w:eastAsia="宋体" w:cs="宋体"/>
                <w:color w:val="auto"/>
                <w:szCs w:val="21"/>
                <w:highlight w:val="none"/>
              </w:rPr>
            </w:pPr>
          </w:p>
        </w:tc>
        <w:tc>
          <w:tcPr>
            <w:tcW w:w="554" w:type="dxa"/>
            <w:vMerge w:val="continue"/>
            <w:noWrap w:val="0"/>
            <w:vAlign w:val="center"/>
          </w:tcPr>
          <w:p>
            <w:pPr>
              <w:snapToGrid w:val="0"/>
              <w:spacing w:line="288" w:lineRule="auto"/>
              <w:jc w:val="center"/>
              <w:rPr>
                <w:rFonts w:hint="eastAsia" w:ascii="宋体" w:hAnsi="宋体" w:eastAsia="宋体" w:cs="宋体"/>
                <w:color w:val="auto"/>
                <w:szCs w:val="21"/>
                <w:highlight w:val="none"/>
              </w:rPr>
            </w:pPr>
          </w:p>
        </w:tc>
        <w:tc>
          <w:tcPr>
            <w:tcW w:w="1650" w:type="dxa"/>
            <w:noWrap w:val="0"/>
            <w:vAlign w:val="center"/>
          </w:tcPr>
          <w:p>
            <w:pPr>
              <w:snapToGrid w:val="0"/>
              <w:spacing w:line="288" w:lineRule="auto"/>
              <w:jc w:val="center"/>
              <w:rPr>
                <w:rFonts w:hint="eastAsia" w:ascii="宋体" w:hAnsi="宋体" w:eastAsia="宋体" w:cs="宋体"/>
                <w:color w:val="auto"/>
                <w:szCs w:val="21"/>
                <w:highlight w:val="none"/>
              </w:rPr>
            </w:pPr>
            <w:r>
              <w:rPr>
                <w:rFonts w:hint="eastAsia" w:ascii="宋体" w:hAnsi="宋体" w:eastAsia="宋体" w:cs="宋体"/>
                <w:color w:val="auto"/>
                <w:sz w:val="22"/>
                <w:szCs w:val="21"/>
                <w:highlight w:val="none"/>
              </w:rPr>
              <w:t>关键构件品牌品质</w:t>
            </w:r>
          </w:p>
        </w:tc>
        <w:tc>
          <w:tcPr>
            <w:tcW w:w="1186" w:type="dxa"/>
            <w:noWrap w:val="0"/>
            <w:vAlign w:val="center"/>
          </w:tcPr>
          <w:p>
            <w:pPr>
              <w:snapToGrid w:val="0"/>
              <w:spacing w:line="288" w:lineRule="auto"/>
              <w:jc w:val="center"/>
              <w:rPr>
                <w:rFonts w:hint="eastAsia" w:ascii="宋体" w:hAnsi="宋体" w:eastAsia="宋体" w:cs="宋体"/>
                <w:color w:val="auto"/>
                <w:szCs w:val="21"/>
                <w:highlight w:val="none"/>
                <w:u w:val="single"/>
              </w:rPr>
            </w:pPr>
            <w:r>
              <w:rPr>
                <w:rFonts w:hint="eastAsia" w:ascii="宋体" w:hAnsi="宋体" w:eastAsia="宋体" w:cs="宋体"/>
                <w:color w:val="auto"/>
                <w:sz w:val="22"/>
                <w:szCs w:val="21"/>
                <w:highlight w:val="none"/>
                <w:u w:val="single"/>
              </w:rPr>
              <w:t>8分</w:t>
            </w:r>
          </w:p>
        </w:tc>
        <w:tc>
          <w:tcPr>
            <w:tcW w:w="4629" w:type="dxa"/>
            <w:noWrap w:val="0"/>
            <w:vAlign w:val="center"/>
          </w:tcPr>
          <w:p>
            <w:pPr>
              <w:snapToGrid w:val="0"/>
              <w:spacing w:line="288" w:lineRule="auto"/>
              <w:rPr>
                <w:rFonts w:hint="eastAsia" w:ascii="宋体" w:hAnsi="宋体" w:eastAsia="宋体" w:cs="宋体"/>
                <w:color w:val="auto"/>
                <w:szCs w:val="21"/>
                <w:highlight w:val="none"/>
              </w:rPr>
            </w:pPr>
            <w:r>
              <w:rPr>
                <w:rFonts w:hint="eastAsia" w:ascii="宋体" w:hAnsi="宋体" w:eastAsia="宋体" w:cs="宋体"/>
                <w:color w:val="auto"/>
                <w:sz w:val="22"/>
                <w:szCs w:val="21"/>
                <w:highlight w:val="none"/>
              </w:rPr>
              <w:t>发动机、底盘、与*指标相关部件等关键构件品牌及技术指标满足招标文件要求得5分，综合比较投标人所投产品关键构件品牌因素加0~3分。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53" w:type="dxa"/>
            <w:vMerge w:val="continue"/>
            <w:noWrap w:val="0"/>
            <w:vAlign w:val="center"/>
          </w:tcPr>
          <w:p>
            <w:pPr>
              <w:snapToGrid w:val="0"/>
              <w:spacing w:line="288" w:lineRule="auto"/>
              <w:jc w:val="center"/>
              <w:rPr>
                <w:rFonts w:hint="eastAsia" w:ascii="宋体" w:hAnsi="宋体" w:eastAsia="宋体" w:cs="宋体"/>
                <w:color w:val="auto"/>
                <w:szCs w:val="21"/>
                <w:highlight w:val="none"/>
              </w:rPr>
            </w:pPr>
          </w:p>
        </w:tc>
        <w:tc>
          <w:tcPr>
            <w:tcW w:w="554" w:type="dxa"/>
            <w:vMerge w:val="continue"/>
            <w:noWrap w:val="0"/>
            <w:vAlign w:val="center"/>
          </w:tcPr>
          <w:p>
            <w:pPr>
              <w:snapToGrid w:val="0"/>
              <w:spacing w:line="288" w:lineRule="auto"/>
              <w:jc w:val="center"/>
              <w:rPr>
                <w:rFonts w:hint="eastAsia" w:ascii="宋体" w:hAnsi="宋体" w:eastAsia="宋体" w:cs="宋体"/>
                <w:color w:val="auto"/>
                <w:szCs w:val="21"/>
                <w:highlight w:val="none"/>
              </w:rPr>
            </w:pPr>
          </w:p>
        </w:tc>
        <w:tc>
          <w:tcPr>
            <w:tcW w:w="1650" w:type="dxa"/>
            <w:noWrap w:val="0"/>
            <w:vAlign w:val="center"/>
          </w:tcPr>
          <w:p>
            <w:pPr>
              <w:snapToGrid w:val="0"/>
              <w:spacing w:line="288" w:lineRule="auto"/>
              <w:jc w:val="center"/>
              <w:rPr>
                <w:rFonts w:hint="eastAsia" w:ascii="宋体" w:hAnsi="宋体" w:eastAsia="宋体" w:cs="宋体"/>
                <w:color w:val="auto"/>
                <w:szCs w:val="21"/>
                <w:highlight w:val="none"/>
              </w:rPr>
            </w:pPr>
            <w:r>
              <w:rPr>
                <w:rFonts w:hint="eastAsia" w:ascii="宋体" w:hAnsi="宋体" w:eastAsia="宋体" w:cs="宋体"/>
                <w:color w:val="auto"/>
                <w:sz w:val="22"/>
                <w:szCs w:val="21"/>
                <w:highlight w:val="none"/>
              </w:rPr>
              <w:t>技术工艺及特色或专利</w:t>
            </w:r>
          </w:p>
        </w:tc>
        <w:tc>
          <w:tcPr>
            <w:tcW w:w="1186" w:type="dxa"/>
            <w:noWrap w:val="0"/>
            <w:vAlign w:val="center"/>
          </w:tcPr>
          <w:p>
            <w:pPr>
              <w:snapToGrid w:val="0"/>
              <w:spacing w:line="288" w:lineRule="auto"/>
              <w:jc w:val="center"/>
              <w:rPr>
                <w:rFonts w:hint="eastAsia" w:ascii="宋体" w:hAnsi="宋体" w:eastAsia="宋体" w:cs="宋体"/>
                <w:color w:val="auto"/>
                <w:szCs w:val="21"/>
                <w:highlight w:val="none"/>
                <w:u w:val="single"/>
              </w:rPr>
            </w:pPr>
            <w:r>
              <w:rPr>
                <w:rFonts w:hint="eastAsia" w:ascii="宋体" w:hAnsi="宋体" w:eastAsia="宋体" w:cs="宋体"/>
                <w:color w:val="auto"/>
                <w:sz w:val="22"/>
                <w:szCs w:val="21"/>
                <w:highlight w:val="none"/>
                <w:u w:val="single"/>
              </w:rPr>
              <w:t>5</w:t>
            </w:r>
            <w:r>
              <w:rPr>
                <w:rFonts w:hint="eastAsia" w:ascii="宋体" w:hAnsi="宋体" w:eastAsia="宋体" w:cs="宋体"/>
                <w:color w:val="auto"/>
                <w:sz w:val="22"/>
                <w:szCs w:val="21"/>
                <w:highlight w:val="none"/>
              </w:rPr>
              <w:t>分</w:t>
            </w:r>
          </w:p>
        </w:tc>
        <w:tc>
          <w:tcPr>
            <w:tcW w:w="4629" w:type="dxa"/>
            <w:noWrap w:val="0"/>
            <w:vAlign w:val="center"/>
          </w:tcPr>
          <w:p>
            <w:pPr>
              <w:snapToGrid w:val="0"/>
              <w:spacing w:line="288" w:lineRule="auto"/>
              <w:rPr>
                <w:rFonts w:hint="eastAsia" w:ascii="宋体" w:hAnsi="宋体" w:eastAsia="宋体" w:cs="宋体"/>
                <w:color w:val="auto"/>
                <w:szCs w:val="21"/>
                <w:highlight w:val="none"/>
              </w:rPr>
            </w:pPr>
            <w:r>
              <w:rPr>
                <w:rFonts w:hint="eastAsia" w:ascii="宋体" w:hAnsi="宋体" w:eastAsia="宋体" w:cs="宋体"/>
                <w:color w:val="auto"/>
                <w:sz w:val="22"/>
                <w:szCs w:val="21"/>
                <w:highlight w:val="none"/>
              </w:rPr>
              <w:t>满足招标文件金属结构件的防锈处理工艺要求的得3分，所投品牌设备制造商企业持有关键构件及整车工艺方面专利的每项加0.5分，最多加2分。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53" w:type="dxa"/>
            <w:vMerge w:val="continue"/>
            <w:noWrap w:val="0"/>
            <w:vAlign w:val="center"/>
          </w:tcPr>
          <w:p>
            <w:pPr>
              <w:snapToGrid w:val="0"/>
              <w:spacing w:line="288" w:lineRule="auto"/>
              <w:jc w:val="center"/>
              <w:rPr>
                <w:rFonts w:hint="eastAsia" w:ascii="宋体" w:hAnsi="宋体" w:eastAsia="宋体" w:cs="宋体"/>
                <w:color w:val="auto"/>
                <w:szCs w:val="21"/>
                <w:highlight w:val="none"/>
              </w:rPr>
            </w:pPr>
          </w:p>
        </w:tc>
        <w:tc>
          <w:tcPr>
            <w:tcW w:w="554" w:type="dxa"/>
            <w:vMerge w:val="continue"/>
            <w:noWrap w:val="0"/>
            <w:vAlign w:val="center"/>
          </w:tcPr>
          <w:p>
            <w:pPr>
              <w:snapToGrid w:val="0"/>
              <w:spacing w:line="288" w:lineRule="auto"/>
              <w:jc w:val="center"/>
              <w:rPr>
                <w:rFonts w:hint="eastAsia" w:ascii="宋体" w:hAnsi="宋体" w:eastAsia="宋体" w:cs="宋体"/>
                <w:color w:val="auto"/>
                <w:szCs w:val="21"/>
                <w:highlight w:val="none"/>
              </w:rPr>
            </w:pPr>
          </w:p>
        </w:tc>
        <w:tc>
          <w:tcPr>
            <w:tcW w:w="1650" w:type="dxa"/>
            <w:noWrap w:val="0"/>
            <w:vAlign w:val="center"/>
          </w:tcPr>
          <w:p>
            <w:pPr>
              <w:snapToGrid w:val="0"/>
              <w:spacing w:line="288" w:lineRule="auto"/>
              <w:jc w:val="center"/>
              <w:rPr>
                <w:rFonts w:hint="eastAsia" w:ascii="宋体" w:hAnsi="宋体" w:eastAsia="宋体" w:cs="宋体"/>
                <w:color w:val="auto"/>
                <w:szCs w:val="21"/>
                <w:highlight w:val="none"/>
              </w:rPr>
            </w:pPr>
            <w:r>
              <w:rPr>
                <w:rFonts w:hint="eastAsia" w:ascii="宋体" w:hAnsi="宋体" w:eastAsia="宋体" w:cs="宋体"/>
                <w:color w:val="auto"/>
                <w:sz w:val="22"/>
                <w:szCs w:val="21"/>
                <w:highlight w:val="none"/>
              </w:rPr>
              <w:t>售后服务承诺及技术支持</w:t>
            </w:r>
          </w:p>
        </w:tc>
        <w:tc>
          <w:tcPr>
            <w:tcW w:w="1186" w:type="dxa"/>
            <w:noWrap w:val="0"/>
            <w:vAlign w:val="center"/>
          </w:tcPr>
          <w:p>
            <w:pPr>
              <w:snapToGrid w:val="0"/>
              <w:spacing w:line="288" w:lineRule="auto"/>
              <w:jc w:val="center"/>
              <w:rPr>
                <w:rFonts w:hint="eastAsia" w:ascii="宋体" w:hAnsi="宋体" w:eastAsia="宋体" w:cs="宋体"/>
                <w:color w:val="auto"/>
                <w:szCs w:val="21"/>
                <w:highlight w:val="none"/>
                <w:u w:val="single"/>
              </w:rPr>
            </w:pPr>
            <w:r>
              <w:rPr>
                <w:rFonts w:hint="eastAsia" w:ascii="宋体" w:hAnsi="宋体" w:eastAsia="宋体" w:cs="宋体"/>
                <w:color w:val="auto"/>
                <w:sz w:val="22"/>
                <w:szCs w:val="21"/>
                <w:highlight w:val="none"/>
                <w:u w:val="single"/>
              </w:rPr>
              <w:t>5</w:t>
            </w:r>
            <w:r>
              <w:rPr>
                <w:rFonts w:hint="eastAsia" w:ascii="宋体" w:hAnsi="宋体" w:eastAsia="宋体" w:cs="宋体"/>
                <w:color w:val="auto"/>
                <w:sz w:val="22"/>
                <w:szCs w:val="21"/>
                <w:highlight w:val="none"/>
              </w:rPr>
              <w:t>分</w:t>
            </w:r>
          </w:p>
        </w:tc>
        <w:tc>
          <w:tcPr>
            <w:tcW w:w="4629" w:type="dxa"/>
            <w:noWrap w:val="0"/>
            <w:vAlign w:val="center"/>
          </w:tcPr>
          <w:p>
            <w:pPr>
              <w:snapToGrid w:val="0"/>
              <w:spacing w:line="288" w:lineRule="auto"/>
              <w:rPr>
                <w:rFonts w:hint="eastAsia" w:ascii="宋体" w:hAnsi="宋体" w:eastAsia="宋体" w:cs="宋体"/>
                <w:color w:val="auto"/>
                <w:szCs w:val="21"/>
                <w:highlight w:val="none"/>
              </w:rPr>
            </w:pPr>
            <w:r>
              <w:rPr>
                <w:rFonts w:hint="eastAsia" w:ascii="宋体" w:hAnsi="宋体" w:eastAsia="宋体" w:cs="宋体"/>
                <w:color w:val="auto"/>
                <w:sz w:val="22"/>
                <w:szCs w:val="21"/>
                <w:highlight w:val="none"/>
              </w:rPr>
              <w:t>满足招标文件要求的得3分，综合比较投标人售后服务承诺及培训、现场指导等技术支持方案的完备程度等因素加0~2分。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53" w:type="dxa"/>
            <w:vMerge w:val="continue"/>
            <w:noWrap w:val="0"/>
            <w:vAlign w:val="center"/>
          </w:tcPr>
          <w:p>
            <w:pPr>
              <w:snapToGrid w:val="0"/>
              <w:spacing w:line="288" w:lineRule="auto"/>
              <w:jc w:val="center"/>
              <w:rPr>
                <w:rFonts w:hint="eastAsia" w:ascii="宋体" w:hAnsi="宋体" w:eastAsia="宋体" w:cs="宋体"/>
                <w:color w:val="auto"/>
                <w:szCs w:val="21"/>
                <w:highlight w:val="none"/>
              </w:rPr>
            </w:pPr>
          </w:p>
        </w:tc>
        <w:tc>
          <w:tcPr>
            <w:tcW w:w="554" w:type="dxa"/>
            <w:vMerge w:val="continue"/>
            <w:noWrap w:val="0"/>
            <w:vAlign w:val="center"/>
          </w:tcPr>
          <w:p>
            <w:pPr>
              <w:snapToGrid w:val="0"/>
              <w:spacing w:line="288" w:lineRule="auto"/>
              <w:jc w:val="center"/>
              <w:rPr>
                <w:rFonts w:hint="eastAsia" w:ascii="宋体" w:hAnsi="宋体" w:eastAsia="宋体" w:cs="宋体"/>
                <w:color w:val="auto"/>
                <w:szCs w:val="21"/>
                <w:highlight w:val="none"/>
              </w:rPr>
            </w:pPr>
          </w:p>
        </w:tc>
        <w:tc>
          <w:tcPr>
            <w:tcW w:w="1650" w:type="dxa"/>
            <w:noWrap w:val="0"/>
            <w:vAlign w:val="center"/>
          </w:tcPr>
          <w:p>
            <w:pPr>
              <w:snapToGrid w:val="0"/>
              <w:spacing w:line="288" w:lineRule="auto"/>
              <w:jc w:val="center"/>
              <w:rPr>
                <w:rFonts w:hint="eastAsia" w:ascii="宋体" w:hAnsi="宋体" w:eastAsia="宋体" w:cs="宋体"/>
                <w:color w:val="auto"/>
                <w:szCs w:val="21"/>
                <w:highlight w:val="none"/>
              </w:rPr>
            </w:pPr>
            <w:r>
              <w:rPr>
                <w:rFonts w:hint="eastAsia" w:ascii="宋体" w:hAnsi="宋体" w:eastAsia="宋体" w:cs="宋体"/>
                <w:color w:val="auto"/>
                <w:sz w:val="22"/>
                <w:szCs w:val="21"/>
                <w:highlight w:val="none"/>
              </w:rPr>
              <w:t>关键设备和车辆业绩</w:t>
            </w:r>
          </w:p>
        </w:tc>
        <w:tc>
          <w:tcPr>
            <w:tcW w:w="1186" w:type="dxa"/>
            <w:noWrap w:val="0"/>
            <w:vAlign w:val="center"/>
          </w:tcPr>
          <w:p>
            <w:pPr>
              <w:snapToGrid w:val="0"/>
              <w:spacing w:line="288" w:lineRule="auto"/>
              <w:jc w:val="center"/>
              <w:rPr>
                <w:rFonts w:hint="eastAsia" w:ascii="宋体" w:hAnsi="宋体" w:eastAsia="宋体" w:cs="宋体"/>
                <w:color w:val="auto"/>
                <w:szCs w:val="21"/>
                <w:highlight w:val="none"/>
                <w:u w:val="single"/>
              </w:rPr>
            </w:pPr>
            <w:r>
              <w:rPr>
                <w:rFonts w:hint="eastAsia" w:ascii="宋体" w:hAnsi="宋体" w:eastAsia="宋体" w:cs="宋体"/>
                <w:color w:val="auto"/>
                <w:sz w:val="22"/>
                <w:szCs w:val="21"/>
                <w:highlight w:val="none"/>
                <w:u w:val="single"/>
              </w:rPr>
              <w:t>10</w:t>
            </w:r>
            <w:r>
              <w:rPr>
                <w:rFonts w:hint="eastAsia" w:ascii="宋体" w:hAnsi="宋体" w:eastAsia="宋体" w:cs="宋体"/>
                <w:color w:val="auto"/>
                <w:sz w:val="22"/>
                <w:szCs w:val="21"/>
                <w:highlight w:val="none"/>
              </w:rPr>
              <w:t>分</w:t>
            </w:r>
          </w:p>
        </w:tc>
        <w:tc>
          <w:tcPr>
            <w:tcW w:w="4629" w:type="dxa"/>
            <w:noWrap w:val="0"/>
            <w:vAlign w:val="center"/>
          </w:tcPr>
          <w:p>
            <w:pPr>
              <w:keepNext w:val="0"/>
              <w:keepLines w:val="0"/>
              <w:pageBreakBefore w:val="0"/>
              <w:widowControl w:val="0"/>
              <w:kinsoku/>
              <w:wordWrap/>
              <w:overflowPunct/>
              <w:topLinePunct w:val="0"/>
              <w:autoSpaceDE/>
              <w:autoSpaceDN/>
              <w:bidi w:val="0"/>
              <w:adjustRightInd/>
              <w:snapToGrid w:val="0"/>
              <w:spacing w:line="288" w:lineRule="auto"/>
              <w:ind w:firstLine="440" w:firstLineChars="200"/>
              <w:jc w:val="left"/>
              <w:textAlignment w:val="auto"/>
              <w:rPr>
                <w:rFonts w:hint="eastAsia" w:ascii="宋体" w:hAnsi="宋体" w:eastAsia="宋体" w:cs="宋体"/>
                <w:color w:val="auto"/>
                <w:sz w:val="22"/>
                <w:szCs w:val="21"/>
                <w:highlight w:val="none"/>
              </w:rPr>
            </w:pPr>
            <w:r>
              <w:rPr>
                <w:rFonts w:hint="eastAsia" w:ascii="宋体" w:hAnsi="宋体" w:eastAsia="宋体" w:cs="宋体"/>
                <w:color w:val="auto"/>
                <w:sz w:val="22"/>
                <w:szCs w:val="21"/>
                <w:highlight w:val="none"/>
              </w:rPr>
              <w:t>满足招标文件要求的得6分，近三年（20</w:t>
            </w:r>
            <w:r>
              <w:rPr>
                <w:rFonts w:hint="eastAsia" w:ascii="宋体" w:hAnsi="宋体" w:eastAsia="宋体" w:cs="宋体"/>
                <w:color w:val="auto"/>
                <w:sz w:val="22"/>
                <w:szCs w:val="21"/>
                <w:highlight w:val="none"/>
                <w:lang w:val="en-US" w:eastAsia="zh-CN"/>
              </w:rPr>
              <w:t>17</w:t>
            </w:r>
            <w:r>
              <w:rPr>
                <w:rFonts w:hint="eastAsia" w:ascii="宋体" w:hAnsi="宋体" w:eastAsia="宋体" w:cs="宋体"/>
                <w:color w:val="auto"/>
                <w:sz w:val="22"/>
                <w:szCs w:val="21"/>
                <w:highlight w:val="none"/>
              </w:rPr>
              <w:t>年1月1日至今），投标人每增加1台所投设备供货业绩加0.</w:t>
            </w:r>
            <w:r>
              <w:rPr>
                <w:rFonts w:hint="eastAsia" w:ascii="宋体" w:hAnsi="宋体" w:eastAsia="宋体" w:cs="宋体"/>
                <w:color w:val="auto"/>
                <w:sz w:val="22"/>
                <w:szCs w:val="21"/>
                <w:highlight w:val="none"/>
                <w:lang w:val="en-US" w:eastAsia="zh-CN"/>
              </w:rPr>
              <w:t>5</w:t>
            </w:r>
            <w:r>
              <w:rPr>
                <w:rFonts w:hint="eastAsia" w:ascii="宋体" w:hAnsi="宋体" w:eastAsia="宋体" w:cs="宋体"/>
                <w:color w:val="auto"/>
                <w:sz w:val="22"/>
                <w:szCs w:val="21"/>
                <w:highlight w:val="none"/>
              </w:rPr>
              <w:t>分，最多加4分。</w:t>
            </w:r>
          </w:p>
          <w:p>
            <w:pPr>
              <w:pStyle w:val="8"/>
              <w:keepNext w:val="0"/>
              <w:keepLines w:val="0"/>
              <w:pageBreakBefore w:val="0"/>
              <w:widowControl w:val="0"/>
              <w:numPr>
                <w:ilvl w:val="0"/>
                <w:numId w:val="0"/>
              </w:numPr>
              <w:kinsoku/>
              <w:wordWrap/>
              <w:overflowPunct/>
              <w:topLinePunct w:val="0"/>
              <w:autoSpaceDE/>
              <w:autoSpaceDN/>
              <w:bidi w:val="0"/>
              <w:adjustRightInd w:val="0"/>
              <w:snapToGrid/>
              <w:ind w:firstLine="440" w:firstLineChars="200"/>
              <w:jc w:val="left"/>
              <w:textAlignment w:val="baseline"/>
              <w:rPr>
                <w:rFonts w:hint="eastAsia" w:ascii="宋体" w:hAnsi="宋体" w:eastAsia="宋体" w:cs="宋体"/>
                <w:color w:val="auto"/>
                <w:kern w:val="2"/>
                <w:sz w:val="22"/>
                <w:szCs w:val="21"/>
                <w:highlight w:val="none"/>
                <w:lang w:val="en-US" w:eastAsia="zh-CN" w:bidi="ar-SA"/>
              </w:rPr>
            </w:pPr>
            <w:r>
              <w:rPr>
                <w:rFonts w:hint="eastAsia" w:ascii="宋体" w:hAnsi="宋体" w:eastAsia="宋体" w:cs="宋体"/>
                <w:color w:val="auto"/>
                <w:kern w:val="2"/>
                <w:sz w:val="22"/>
                <w:szCs w:val="21"/>
                <w:highlight w:val="none"/>
                <w:lang w:val="en-US" w:eastAsia="zh-CN" w:bidi="ar-SA"/>
              </w:rPr>
              <w:t>备注：</w:t>
            </w:r>
          </w:p>
          <w:p>
            <w:pPr>
              <w:pStyle w:val="8"/>
              <w:keepNext w:val="0"/>
              <w:keepLines w:val="0"/>
              <w:pageBreakBefore w:val="0"/>
              <w:widowControl w:val="0"/>
              <w:numPr>
                <w:ilvl w:val="0"/>
                <w:numId w:val="0"/>
              </w:numPr>
              <w:kinsoku/>
              <w:wordWrap/>
              <w:overflowPunct/>
              <w:topLinePunct w:val="0"/>
              <w:autoSpaceDE/>
              <w:autoSpaceDN/>
              <w:bidi w:val="0"/>
              <w:adjustRightInd w:val="0"/>
              <w:snapToGrid/>
              <w:ind w:firstLine="440" w:firstLineChars="200"/>
              <w:jc w:val="left"/>
              <w:textAlignment w:val="baseline"/>
              <w:rPr>
                <w:rFonts w:hint="eastAsia" w:ascii="宋体" w:hAnsi="宋体" w:eastAsia="宋体" w:cs="宋体"/>
                <w:color w:val="auto"/>
                <w:highlight w:val="none"/>
                <w:lang w:val="en-US" w:eastAsia="zh-CN"/>
              </w:rPr>
            </w:pPr>
            <w:r>
              <w:rPr>
                <w:rFonts w:hint="eastAsia" w:ascii="宋体" w:hAnsi="宋体" w:eastAsia="宋体" w:cs="宋体"/>
                <w:color w:val="auto"/>
                <w:kern w:val="2"/>
                <w:sz w:val="22"/>
                <w:szCs w:val="22"/>
                <w:highlight w:val="none"/>
                <w:lang w:val="en-US" w:eastAsia="zh-CN" w:bidi="ar-SA"/>
              </w:rPr>
              <w:t>01标包：所投设备业绩为应急救援多功能专用车辆</w:t>
            </w:r>
            <w:r>
              <w:rPr>
                <w:rFonts w:hint="eastAsia" w:ascii="宋体" w:hAnsi="宋体" w:eastAsia="宋体" w:cs="宋体"/>
                <w:color w:val="auto"/>
                <w:kern w:val="2"/>
                <w:sz w:val="22"/>
                <w:szCs w:val="22"/>
                <w:highlight w:val="none"/>
                <w:lang w:val="zh-CN" w:eastAsia="zh-CN" w:bidi="ar-SA"/>
              </w:rPr>
              <w:t>的供货业绩。</w:t>
            </w:r>
          </w:p>
        </w:tc>
      </w:tr>
    </w:tbl>
    <w:p>
      <w:pPr>
        <w:rPr>
          <w:rFonts w:hint="eastAsia" w:ascii="宋体" w:hAnsi="宋体" w:eastAsia="宋体" w:cs="宋体"/>
          <w:color w:val="auto"/>
          <w:sz w:val="24"/>
          <w:szCs w:val="24"/>
          <w:highlight w:val="none"/>
          <w:lang w:val="en-US" w:eastAsia="zh-CN"/>
        </w:rPr>
      </w:pPr>
    </w:p>
    <w:p>
      <w:pPr>
        <w:rPr>
          <w:rFonts w:hint="eastAsia" w:ascii="宋体" w:hAnsi="宋体" w:eastAsia="宋体" w:cs="宋体"/>
          <w:color w:val="auto"/>
          <w:sz w:val="24"/>
          <w:szCs w:val="24"/>
          <w:highlight w:val="none"/>
          <w:lang w:val="en-US" w:eastAsia="zh-CN"/>
        </w:rPr>
      </w:pPr>
    </w:p>
    <w:p>
      <w:pPr>
        <w:rPr>
          <w:rFonts w:hint="eastAsia" w:ascii="宋体" w:hAnsi="宋体" w:eastAsia="宋体" w:cs="宋体"/>
          <w:color w:val="auto"/>
          <w:sz w:val="24"/>
          <w:szCs w:val="24"/>
          <w:highlight w:val="none"/>
          <w:lang w:val="en-US" w:eastAsia="zh-CN"/>
        </w:rPr>
      </w:pPr>
    </w:p>
    <w:p>
      <w:pPr>
        <w:rPr>
          <w:rFonts w:hint="eastAsia" w:ascii="宋体" w:hAnsi="宋体" w:eastAsia="宋体" w:cs="宋体"/>
          <w:color w:val="auto"/>
          <w:sz w:val="24"/>
          <w:szCs w:val="24"/>
          <w:highlight w:val="none"/>
          <w:lang w:val="en-US" w:eastAsia="zh-CN"/>
        </w:rPr>
      </w:pPr>
    </w:p>
    <w:p>
      <w:pPr>
        <w:rPr>
          <w:rFonts w:hint="eastAsia" w:ascii="宋体" w:hAnsi="宋体" w:eastAsia="宋体" w:cs="宋体"/>
          <w:color w:val="auto"/>
          <w:sz w:val="24"/>
          <w:szCs w:val="24"/>
          <w:highlight w:val="none"/>
          <w:lang w:val="en-US" w:eastAsia="zh-CN"/>
        </w:rPr>
      </w:pPr>
    </w:p>
    <w:p>
      <w:pPr>
        <w:pStyle w:val="4"/>
        <w:rPr>
          <w:rFonts w:hint="eastAsia" w:ascii="宋体" w:hAnsi="宋体" w:eastAsia="宋体" w:cs="宋体"/>
          <w:color w:val="auto"/>
          <w:sz w:val="24"/>
          <w:szCs w:val="24"/>
          <w:highlight w:val="none"/>
          <w:lang w:val="en-US" w:eastAsia="zh-CN"/>
        </w:rPr>
      </w:pPr>
      <w:bookmarkStart w:id="15" w:name="_Toc32168"/>
      <w:r>
        <w:rPr>
          <w:rFonts w:hint="eastAsia" w:ascii="宋体" w:hAnsi="宋体" w:eastAsia="宋体" w:cs="宋体"/>
          <w:color w:val="auto"/>
          <w:sz w:val="24"/>
          <w:szCs w:val="24"/>
          <w:highlight w:val="none"/>
          <w:lang w:val="en-US" w:eastAsia="zh-CN"/>
        </w:rPr>
        <w:t>表 C</w:t>
      </w:r>
      <w:bookmarkEnd w:id="15"/>
      <w:r>
        <w:rPr>
          <w:rFonts w:hint="eastAsia" w:ascii="宋体" w:hAnsi="宋体" w:eastAsia="宋体" w:cs="宋体"/>
          <w:color w:val="auto"/>
          <w:sz w:val="24"/>
          <w:szCs w:val="24"/>
          <w:highlight w:val="none"/>
          <w:lang w:val="en-US" w:eastAsia="zh-CN"/>
        </w:rPr>
        <w:t xml:space="preserve"> </w:t>
      </w:r>
    </w:p>
    <w:tbl>
      <w:tblPr>
        <w:tblStyle w:val="9"/>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07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40" w:hRule="atLeast"/>
          <w:tblHeader/>
          <w:jc w:val="center"/>
        </w:trPr>
        <w:tc>
          <w:tcPr>
            <w:tcW w:w="9072" w:type="dxa"/>
            <w:noWrap w:val="0"/>
            <w:vAlign w:val="center"/>
          </w:tcPr>
          <w:p>
            <w:pPr>
              <w:spacing w:line="360" w:lineRule="auto"/>
              <w:ind w:left="108" w:firstLine="440" w:firstLineChars="200"/>
              <w:rPr>
                <w:rFonts w:hint="eastAsia" w:ascii="宋体" w:hAnsi="宋体" w:eastAsia="宋体" w:cs="宋体"/>
                <w:color w:val="auto"/>
                <w:sz w:val="22"/>
                <w:szCs w:val="21"/>
                <w:highlight w:val="none"/>
              </w:rPr>
            </w:pPr>
            <w:r>
              <w:rPr>
                <w:rFonts w:hint="eastAsia" w:ascii="宋体" w:hAnsi="宋体" w:eastAsia="宋体" w:cs="宋体"/>
                <w:color w:val="auto"/>
                <w:sz w:val="22"/>
                <w:szCs w:val="21"/>
                <w:highlight w:val="none"/>
              </w:rPr>
              <w:t>评标程序如下：</w:t>
            </w:r>
          </w:p>
          <w:p>
            <w:pPr>
              <w:spacing w:line="360" w:lineRule="auto"/>
              <w:ind w:firstLine="440" w:firstLineChars="200"/>
              <w:rPr>
                <w:rFonts w:hint="eastAsia" w:ascii="宋体" w:hAnsi="宋体" w:eastAsia="宋体" w:cs="宋体"/>
                <w:color w:val="auto"/>
                <w:sz w:val="22"/>
                <w:szCs w:val="21"/>
                <w:highlight w:val="none"/>
              </w:rPr>
            </w:pPr>
            <w:r>
              <w:rPr>
                <w:rFonts w:hint="eastAsia" w:ascii="宋体" w:hAnsi="宋体" w:eastAsia="宋体" w:cs="宋体"/>
                <w:color w:val="auto"/>
                <w:sz w:val="22"/>
                <w:szCs w:val="21"/>
                <w:highlight w:val="none"/>
              </w:rPr>
              <w:t>1.评标委员会首先对所有投标人的投标文件第一个信封（商务及技术文件）进行初步评审；</w:t>
            </w:r>
          </w:p>
          <w:p>
            <w:pPr>
              <w:spacing w:line="360" w:lineRule="auto"/>
              <w:ind w:firstLine="440" w:firstLineChars="200"/>
              <w:rPr>
                <w:rFonts w:hint="eastAsia" w:ascii="宋体" w:hAnsi="宋体" w:eastAsia="宋体" w:cs="宋体"/>
                <w:color w:val="auto"/>
                <w:sz w:val="22"/>
                <w:szCs w:val="21"/>
                <w:highlight w:val="none"/>
              </w:rPr>
            </w:pPr>
            <w:r>
              <w:rPr>
                <w:rFonts w:hint="eastAsia" w:ascii="宋体" w:hAnsi="宋体" w:eastAsia="宋体" w:cs="宋体"/>
                <w:color w:val="auto"/>
                <w:sz w:val="22"/>
                <w:szCs w:val="21"/>
                <w:highlight w:val="none"/>
              </w:rPr>
              <w:t>2.评标委员会按招标文件要求对通过初步评审的投标人的投标文件的第一个信封（商务及技术文件）按评标办法打分；在计算投标人得分时，以评标委员会各成员评分的平均值计算。如通过第一个信封（商务及技术文件）评审的有效投标不足3个，评标委员会应当对有效投标是否仍具有竞争性进行评审。评标委员会一致认为有效投标仍具有竞争性的，应当继续按照规定的程序进行第二个信封报价文件评审，并在评标报告中予以说明。评标委员会对有效投标是否仍具有竞争性无法达成一致意见的，应当否决全部投标。</w:t>
            </w:r>
          </w:p>
          <w:p>
            <w:pPr>
              <w:spacing w:line="360" w:lineRule="auto"/>
              <w:ind w:firstLine="440" w:firstLineChars="200"/>
              <w:rPr>
                <w:rFonts w:hint="eastAsia" w:ascii="宋体" w:hAnsi="宋体" w:eastAsia="宋体" w:cs="宋体"/>
                <w:color w:val="auto"/>
                <w:sz w:val="22"/>
                <w:szCs w:val="21"/>
                <w:highlight w:val="none"/>
              </w:rPr>
            </w:pPr>
            <w:r>
              <w:rPr>
                <w:rFonts w:hint="eastAsia" w:ascii="宋体" w:hAnsi="宋体" w:eastAsia="宋体" w:cs="宋体"/>
                <w:color w:val="auto"/>
                <w:sz w:val="22"/>
                <w:szCs w:val="21"/>
                <w:highlight w:val="none"/>
              </w:rPr>
              <w:t>3.评标委员会确定通过投标文件第一个信封（商务及技术文件）的投标人名单。</w:t>
            </w:r>
          </w:p>
          <w:p>
            <w:pPr>
              <w:spacing w:line="360" w:lineRule="auto"/>
              <w:ind w:firstLine="440" w:firstLineChars="200"/>
              <w:rPr>
                <w:rFonts w:hint="eastAsia" w:ascii="宋体" w:hAnsi="宋体" w:eastAsia="宋体" w:cs="宋体"/>
                <w:color w:val="auto"/>
                <w:sz w:val="22"/>
                <w:szCs w:val="21"/>
                <w:highlight w:val="none"/>
              </w:rPr>
            </w:pPr>
            <w:r>
              <w:rPr>
                <w:rFonts w:hint="eastAsia" w:ascii="宋体" w:hAnsi="宋体" w:eastAsia="宋体" w:cs="宋体"/>
                <w:color w:val="auto"/>
                <w:sz w:val="22"/>
                <w:szCs w:val="21"/>
                <w:highlight w:val="none"/>
              </w:rPr>
              <w:t>4.评标委员会对对已开启的投标人第二个信封（报价文件）进行初步评审。</w:t>
            </w:r>
          </w:p>
          <w:p>
            <w:pPr>
              <w:spacing w:line="360" w:lineRule="auto"/>
              <w:ind w:firstLine="440" w:firstLineChars="200"/>
              <w:rPr>
                <w:rFonts w:hint="eastAsia" w:ascii="宋体" w:hAnsi="宋体" w:eastAsia="宋体" w:cs="宋体"/>
                <w:color w:val="auto"/>
                <w:sz w:val="22"/>
                <w:szCs w:val="21"/>
                <w:highlight w:val="none"/>
              </w:rPr>
            </w:pPr>
            <w:r>
              <w:rPr>
                <w:rFonts w:hint="eastAsia" w:ascii="宋体" w:hAnsi="宋体" w:eastAsia="宋体" w:cs="宋体"/>
                <w:color w:val="auto"/>
                <w:sz w:val="22"/>
                <w:szCs w:val="21"/>
                <w:highlight w:val="none"/>
              </w:rPr>
              <w:t>5.第二个信封（报价文件）有效投标不足3个，评标委员会在进行评审时应当对投标是否仍具有竞争性进行评审，评标委员会有权否决全部投标；评标委员会未在报价文件评审时否决全部投标的，应当在评标报告中阐明理由。</w:t>
            </w:r>
          </w:p>
          <w:p>
            <w:pPr>
              <w:spacing w:line="360" w:lineRule="auto"/>
              <w:ind w:firstLine="440" w:firstLineChars="200"/>
              <w:rPr>
                <w:rFonts w:hint="eastAsia" w:ascii="宋体" w:hAnsi="宋体" w:eastAsia="宋体" w:cs="宋体"/>
                <w:color w:val="auto"/>
                <w:sz w:val="22"/>
                <w:szCs w:val="21"/>
                <w:highlight w:val="none"/>
              </w:rPr>
            </w:pPr>
            <w:r>
              <w:rPr>
                <w:rFonts w:hint="eastAsia" w:ascii="宋体" w:hAnsi="宋体" w:eastAsia="宋体" w:cs="宋体"/>
                <w:color w:val="auto"/>
                <w:sz w:val="22"/>
                <w:szCs w:val="21"/>
                <w:highlight w:val="none"/>
              </w:rPr>
              <w:t>6.评标委员会对报价文件进行详细评审，计算评标基准价并计算各投标人评标价得分。</w:t>
            </w:r>
          </w:p>
          <w:p>
            <w:pPr>
              <w:spacing w:line="360" w:lineRule="auto"/>
              <w:ind w:firstLine="440" w:firstLineChars="200"/>
              <w:rPr>
                <w:rFonts w:hint="eastAsia" w:ascii="宋体" w:hAnsi="宋体" w:eastAsia="宋体" w:cs="宋体"/>
                <w:color w:val="auto"/>
                <w:szCs w:val="21"/>
                <w:highlight w:val="none"/>
              </w:rPr>
            </w:pPr>
            <w:r>
              <w:rPr>
                <w:rFonts w:hint="eastAsia" w:ascii="宋体" w:hAnsi="宋体" w:eastAsia="宋体" w:cs="宋体"/>
                <w:color w:val="auto"/>
                <w:sz w:val="22"/>
                <w:szCs w:val="21"/>
                <w:highlight w:val="none"/>
              </w:rPr>
              <w:t>7.评标委员会计算投标人第一个信封（商务及技术文件）及第二个信封（报价文件）综合得分，并按综合得分由高到低的顺序进行排名，推荐综合得分最高的投标人为第一中标候选人，次低的2名投标人作为</w:t>
            </w:r>
            <w:r>
              <w:rPr>
                <w:rFonts w:hint="eastAsia" w:ascii="宋体" w:hAnsi="宋体" w:eastAsia="宋体" w:cs="宋体"/>
                <w:color w:val="auto"/>
                <w:sz w:val="22"/>
                <w:szCs w:val="21"/>
                <w:highlight w:val="none"/>
                <w:lang w:val="en-US" w:eastAsia="zh-CN"/>
              </w:rPr>
              <w:t>第二</w:t>
            </w:r>
            <w:r>
              <w:rPr>
                <w:rFonts w:hint="eastAsia" w:ascii="宋体" w:hAnsi="宋体" w:eastAsia="宋体" w:cs="宋体"/>
                <w:color w:val="auto"/>
                <w:sz w:val="22"/>
                <w:szCs w:val="21"/>
                <w:highlight w:val="none"/>
              </w:rPr>
              <w:t>中标候选人</w:t>
            </w:r>
            <w:r>
              <w:rPr>
                <w:rFonts w:hint="eastAsia" w:ascii="宋体" w:hAnsi="宋体" w:eastAsia="宋体" w:cs="宋体"/>
                <w:color w:val="auto"/>
                <w:sz w:val="22"/>
                <w:szCs w:val="21"/>
                <w:highlight w:val="none"/>
                <w:lang w:eastAsia="zh-CN"/>
              </w:rPr>
              <w:t>，</w:t>
            </w:r>
            <w:r>
              <w:rPr>
                <w:rFonts w:hint="eastAsia" w:ascii="宋体" w:hAnsi="宋体" w:eastAsia="宋体" w:cs="宋体"/>
                <w:color w:val="auto"/>
                <w:sz w:val="22"/>
                <w:szCs w:val="21"/>
                <w:highlight w:val="none"/>
                <w:lang w:val="en-US" w:eastAsia="zh-CN"/>
              </w:rPr>
              <w:t>依次类推</w:t>
            </w:r>
            <w:r>
              <w:rPr>
                <w:rFonts w:hint="eastAsia" w:ascii="宋体" w:hAnsi="宋体" w:eastAsia="宋体" w:cs="宋体"/>
                <w:color w:val="auto"/>
                <w:sz w:val="22"/>
                <w:szCs w:val="21"/>
                <w:highlight w:val="none"/>
              </w:rPr>
              <w:t>。综合得分相等时，以投标报价低的优先；投标报价也相等，以投标文件递交时间顺序靠前的原则进行推荐。</w:t>
            </w:r>
          </w:p>
        </w:tc>
      </w:tr>
    </w:tbl>
    <w:p>
      <w:pPr>
        <w:jc w:val="left"/>
        <w:rPr>
          <w:rFonts w:hint="eastAsia" w:ascii="宋体" w:hAnsi="宋体" w:eastAsia="宋体" w:cs="宋体"/>
          <w:color w:val="auto"/>
          <w:sz w:val="22"/>
          <w:szCs w:val="21"/>
          <w:highlight w:val="none"/>
        </w:rPr>
      </w:pPr>
    </w:p>
    <w:p>
      <w:pPr>
        <w:jc w:val="left"/>
        <w:rPr>
          <w:rFonts w:hint="eastAsia" w:ascii="宋体" w:hAnsi="宋体" w:eastAsia="宋体" w:cs="宋体"/>
          <w:color w:val="auto"/>
          <w:sz w:val="22"/>
          <w:szCs w:val="21"/>
          <w:highlight w:val="none"/>
        </w:rPr>
      </w:pPr>
    </w:p>
    <w:p>
      <w:pPr>
        <w:spacing w:line="360" w:lineRule="auto"/>
        <w:rPr>
          <w:rFonts w:hint="eastAsia" w:ascii="宋体" w:hAnsi="宋体" w:eastAsia="宋体" w:cs="宋体"/>
          <w:color w:val="auto"/>
          <w:sz w:val="22"/>
          <w:szCs w:val="21"/>
          <w:highlight w:val="none"/>
        </w:rPr>
        <w:sectPr>
          <w:headerReference r:id="rId4" w:type="first"/>
          <w:headerReference r:id="rId3" w:type="default"/>
          <w:footerReference r:id="rId5" w:type="default"/>
          <w:footnotePr>
            <w:numFmt w:val="decimalEnclosedCircleChinese"/>
            <w:numRestart w:val="eachPage"/>
          </w:footnotePr>
          <w:pgSz w:w="11850" w:h="16783"/>
          <w:pgMar w:top="1417" w:right="1417" w:bottom="1417" w:left="1417" w:header="720" w:footer="720" w:gutter="0"/>
          <w:pgNumType w:fmt="decimal"/>
          <w:cols w:space="720" w:num="1"/>
          <w:docGrid w:type="lines" w:linePitch="312" w:charSpace="0"/>
        </w:sectPr>
      </w:pPr>
    </w:p>
    <w:p>
      <w:pPr>
        <w:widowControl/>
        <w:spacing w:line="360" w:lineRule="auto"/>
        <w:jc w:val="both"/>
        <w:rPr>
          <w:rFonts w:hint="eastAsia" w:ascii="宋体" w:hAnsi="宋体" w:eastAsia="宋体" w:cs="宋体"/>
          <w:bCs/>
          <w:color w:val="auto"/>
          <w:kern w:val="0"/>
          <w:sz w:val="30"/>
          <w:szCs w:val="30"/>
          <w:highlight w:val="none"/>
        </w:rPr>
      </w:pPr>
      <w:r>
        <w:rPr>
          <w:rFonts w:hint="eastAsia" w:ascii="宋体" w:hAnsi="宋体" w:eastAsia="宋体" w:cs="宋体"/>
          <w:bCs/>
          <w:color w:val="auto"/>
          <w:kern w:val="0"/>
          <w:sz w:val="30"/>
          <w:szCs w:val="30"/>
          <w:highlight w:val="none"/>
        </w:rPr>
        <mc:AlternateContent>
          <mc:Choice Requires="wps">
            <w:drawing>
              <wp:anchor distT="0" distB="0" distL="114300" distR="114300" simplePos="0" relativeHeight="251658240" behindDoc="1" locked="0" layoutInCell="1" allowOverlap="1">
                <wp:simplePos x="0" y="0"/>
                <wp:positionH relativeFrom="column">
                  <wp:posOffset>-5715</wp:posOffset>
                </wp:positionH>
                <wp:positionV relativeFrom="paragraph">
                  <wp:posOffset>-1520825</wp:posOffset>
                </wp:positionV>
                <wp:extent cx="12065" cy="12065"/>
                <wp:effectExtent l="0" t="0" r="0" b="0"/>
                <wp:wrapNone/>
                <wp:docPr id="1" name="矩形 1"/>
                <wp:cNvGraphicFramePr/>
                <a:graphic xmlns:a="http://schemas.openxmlformats.org/drawingml/2006/main">
                  <a:graphicData uri="http://schemas.microsoft.com/office/word/2010/wordprocessingShape">
                    <wps:wsp>
                      <wps:cNvSpPr/>
                      <wps:spPr>
                        <a:xfrm>
                          <a:off x="0" y="0"/>
                          <a:ext cx="12065" cy="12065"/>
                        </a:xfrm>
                        <a:prstGeom prst="rect">
                          <a:avLst/>
                        </a:prstGeom>
                        <a:solidFill>
                          <a:srgbClr val="000000"/>
                        </a:solidFill>
                        <a:ln>
                          <a:noFill/>
                        </a:ln>
                        <a:effectLst/>
                      </wps:spPr>
                      <wps:txbx>
                        <w:txbxContent>
                          <w:p/>
                        </w:txbxContent>
                      </wps:txbx>
                      <wps:bodyPr upright="1"/>
                    </wps:wsp>
                  </a:graphicData>
                </a:graphic>
              </wp:anchor>
            </w:drawing>
          </mc:Choice>
          <mc:Fallback>
            <w:pict>
              <v:rect id="_x0000_s1026" o:spid="_x0000_s1026" o:spt="1" style="position:absolute;left:0pt;margin-left:-0.45pt;margin-top:-119.75pt;height:0.95pt;width:0.95pt;z-index:-251658240;mso-width-relative:page;mso-height-relative:page;" fillcolor="#000000" filled="t" stroked="f" coordsize="21600,21600" o:gfxdata="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B/SRd22AAAAAkBAAAPAAAAAAAAAAEAIAAAACIAAABkcnMvZG93bnJldi54bWxQSwECFAAUAAAA&#10;CACHTuJAmuJlnLUBAAB1AwAADgAAAAAAAAABACAAAAAnAQAAZHJzL2Uyb0RvYy54bWxQSwUGAAAA&#10;AAYABgBZAQAATgUAAAAA&#10;">
                <v:path/>
                <v:fill on="t" focussize="0,0"/>
                <v:stroke on="f"/>
                <v:imagedata o:title=""/>
                <o:lock v:ext="edit" aspectratio="f"/>
                <v:textbox>
                  <w:txbxContent>
                    <w:p/>
                  </w:txbxContent>
                </v:textbox>
              </v:rect>
            </w:pict>
          </mc:Fallback>
        </mc:AlternateContent>
      </w:r>
      <w:r>
        <w:rPr>
          <w:rFonts w:hint="eastAsia" w:ascii="宋体" w:hAnsi="宋体" w:eastAsia="宋体" w:cs="宋体"/>
          <w:bCs/>
          <w:color w:val="auto"/>
          <w:kern w:val="0"/>
          <w:sz w:val="30"/>
          <w:szCs w:val="30"/>
          <w:highlight w:val="none"/>
        </w:rPr>
        <mc:AlternateContent>
          <mc:Choice Requires="wps">
            <w:drawing>
              <wp:anchor distT="0" distB="0" distL="114300" distR="114300" simplePos="0" relativeHeight="251659264" behindDoc="1" locked="0" layoutInCell="1" allowOverlap="1">
                <wp:simplePos x="0" y="0"/>
                <wp:positionH relativeFrom="column">
                  <wp:posOffset>565150</wp:posOffset>
                </wp:positionH>
                <wp:positionV relativeFrom="paragraph">
                  <wp:posOffset>-1520825</wp:posOffset>
                </wp:positionV>
                <wp:extent cx="12700" cy="12065"/>
                <wp:effectExtent l="0" t="0" r="0" b="0"/>
                <wp:wrapNone/>
                <wp:docPr id="2" name="矩形 2"/>
                <wp:cNvGraphicFramePr/>
                <a:graphic xmlns:a="http://schemas.openxmlformats.org/drawingml/2006/main">
                  <a:graphicData uri="http://schemas.microsoft.com/office/word/2010/wordprocessingShape">
                    <wps:wsp>
                      <wps:cNvSpPr/>
                      <wps:spPr>
                        <a:xfrm>
                          <a:off x="0" y="0"/>
                          <a:ext cx="12700" cy="12065"/>
                        </a:xfrm>
                        <a:prstGeom prst="rect">
                          <a:avLst/>
                        </a:prstGeom>
                        <a:solidFill>
                          <a:srgbClr val="000000"/>
                        </a:solidFill>
                        <a:ln>
                          <a:noFill/>
                        </a:ln>
                        <a:effectLst/>
                      </wps:spPr>
                      <wps:txbx>
                        <w:txbxContent>
                          <w:p/>
                        </w:txbxContent>
                      </wps:txbx>
                      <wps:bodyPr upright="1"/>
                    </wps:wsp>
                  </a:graphicData>
                </a:graphic>
              </wp:anchor>
            </w:drawing>
          </mc:Choice>
          <mc:Fallback>
            <w:pict>
              <v:rect id="_x0000_s1026" o:spid="_x0000_s1026" o:spt="1" style="position:absolute;left:0pt;margin-left:44.5pt;margin-top:-119.75pt;height:0.95pt;width:1pt;z-index:-251657216;mso-width-relative:page;mso-height-relative:page;" fillcolor="#000000" filled="t" stroked="f" coordsize="21600,21600" o:gfxdata="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Oo3dM9kAAAALAQAADwAAAAAAAAABACAAAAAiAAAAZHJzL2Rvd25yZXYueG1sUEsBAhQAFAAA&#10;AAgAh07iQGGdcDe1AQAAdQMAAA4AAAAAAAAAAQAgAAAAKAEAAGRycy9lMm9Eb2MueG1sUEsFBgAA&#10;AAAGAAYAWQEAAE8FAAAAAA==&#10;">
                <v:path/>
                <v:fill on="t" focussize="0,0"/>
                <v:stroke on="f"/>
                <v:imagedata o:title=""/>
                <o:lock v:ext="edit" aspectratio="f"/>
                <v:textbox>
                  <w:txbxContent>
                    <w:p/>
                  </w:txbxContent>
                </v:textbox>
              </v:rect>
            </w:pict>
          </mc:Fallback>
        </mc:AlternateContent>
      </w:r>
      <w:bookmarkStart w:id="16" w:name="page47"/>
      <w:bookmarkEnd w:id="16"/>
      <w:r>
        <w:rPr>
          <w:rFonts w:hint="eastAsia" w:ascii="宋体" w:hAnsi="宋体" w:eastAsia="宋体" w:cs="宋体"/>
          <w:bCs/>
          <w:color w:val="auto"/>
          <w:kern w:val="0"/>
          <w:sz w:val="30"/>
          <w:szCs w:val="30"/>
          <w:highlight w:val="none"/>
        </w:rPr>
        <w:t>1. 评标方法</w:t>
      </w:r>
    </w:p>
    <w:p>
      <w:pPr>
        <w:adjustRightInd w:val="0"/>
        <w:snapToGrid w:val="0"/>
        <w:spacing w:line="360" w:lineRule="auto"/>
        <w:ind w:firstLine="440" w:firstLineChars="200"/>
        <w:rPr>
          <w:rFonts w:hint="eastAsia" w:ascii="宋体" w:hAnsi="宋体" w:eastAsia="宋体" w:cs="宋体"/>
          <w:color w:val="auto"/>
          <w:sz w:val="22"/>
          <w:szCs w:val="21"/>
          <w:highlight w:val="none"/>
        </w:rPr>
      </w:pPr>
      <w:r>
        <w:rPr>
          <w:rFonts w:hint="eastAsia" w:ascii="宋体" w:hAnsi="宋体" w:eastAsia="宋体" w:cs="宋体"/>
          <w:color w:val="auto"/>
          <w:sz w:val="22"/>
          <w:szCs w:val="21"/>
          <w:highlight w:val="none"/>
        </w:rPr>
        <w:t>本次评标采用综合评估法。评标委员会对满足招标文件实质性要求的投标文件，按照本章第 2.2 款规定的评分标准进行打分，并按综合得分由高到低顺序推荐中标候选人，投标报价低于其成本的除外。综合得分相等时，以投标报价低的优先；投标报价也相等的，以第一个信封商务及技术文件得分高的优先；如果一个信封商务及技术文件得分也相等，按照评标办法前附表的规定确定中标候选人顺序。</w:t>
      </w:r>
    </w:p>
    <w:p>
      <w:pPr>
        <w:keepNext w:val="0"/>
        <w:keepLines w:val="0"/>
        <w:pageBreakBefore w:val="0"/>
        <w:widowControl/>
        <w:kinsoku/>
        <w:wordWrap/>
        <w:overflowPunct/>
        <w:topLinePunct w:val="0"/>
        <w:autoSpaceDE/>
        <w:autoSpaceDN/>
        <w:bidi w:val="0"/>
        <w:adjustRightInd/>
        <w:snapToGrid/>
        <w:spacing w:line="400" w:lineRule="atLeast"/>
        <w:jc w:val="both"/>
        <w:textAlignment w:val="auto"/>
        <w:rPr>
          <w:rFonts w:hint="eastAsia" w:ascii="宋体" w:hAnsi="宋体" w:eastAsia="宋体" w:cs="宋体"/>
          <w:bCs/>
          <w:color w:val="auto"/>
          <w:kern w:val="0"/>
          <w:sz w:val="30"/>
          <w:szCs w:val="30"/>
          <w:highlight w:val="none"/>
        </w:rPr>
      </w:pPr>
      <w:r>
        <w:rPr>
          <w:rFonts w:hint="eastAsia" w:ascii="宋体" w:hAnsi="宋体" w:eastAsia="宋体" w:cs="宋体"/>
          <w:bCs/>
          <w:color w:val="auto"/>
          <w:kern w:val="0"/>
          <w:sz w:val="30"/>
          <w:szCs w:val="30"/>
          <w:highlight w:val="none"/>
        </w:rPr>
        <w:t>2.评审标准</w:t>
      </w:r>
    </w:p>
    <w:p>
      <w:pPr>
        <w:pStyle w:val="11"/>
        <w:keepNext w:val="0"/>
        <w:keepLines w:val="0"/>
        <w:pageBreakBefore w:val="0"/>
        <w:kinsoku/>
        <w:wordWrap/>
        <w:overflowPunct/>
        <w:topLinePunct w:val="0"/>
        <w:autoSpaceDE/>
        <w:autoSpaceDN/>
        <w:bidi w:val="0"/>
        <w:adjustRightInd/>
        <w:snapToGrid/>
        <w:spacing w:before="120" w:beforeLines="50" w:after="120" w:afterLines="50" w:line="400" w:lineRule="atLeas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2.1初步评审标准</w:t>
      </w:r>
    </w:p>
    <w:p>
      <w:pPr>
        <w:spacing w:line="360" w:lineRule="auto"/>
        <w:ind w:firstLine="440" w:firstLineChars="200"/>
        <w:rPr>
          <w:rFonts w:hint="eastAsia" w:ascii="宋体" w:hAnsi="宋体" w:eastAsia="宋体" w:cs="宋体"/>
          <w:color w:val="auto"/>
          <w:sz w:val="22"/>
          <w:szCs w:val="21"/>
          <w:highlight w:val="none"/>
        </w:rPr>
      </w:pPr>
      <w:r>
        <w:rPr>
          <w:rFonts w:hint="eastAsia" w:ascii="宋体" w:hAnsi="宋体" w:eastAsia="宋体" w:cs="宋体"/>
          <w:color w:val="auto"/>
          <w:sz w:val="22"/>
          <w:szCs w:val="21"/>
          <w:highlight w:val="none"/>
        </w:rPr>
        <w:t>2.</w:t>
      </w:r>
      <w:r>
        <w:rPr>
          <w:rFonts w:hint="eastAsia" w:ascii="宋体" w:hAnsi="宋体" w:eastAsia="宋体" w:cs="宋体"/>
          <w:color w:val="auto"/>
          <w:sz w:val="22"/>
          <w:szCs w:val="21"/>
          <w:highlight w:val="none"/>
          <w:lang w:val="en-US" w:eastAsia="zh-CN"/>
        </w:rPr>
        <w:t>1</w:t>
      </w:r>
      <w:r>
        <w:rPr>
          <w:rFonts w:hint="eastAsia" w:ascii="宋体" w:hAnsi="宋体" w:eastAsia="宋体" w:cs="宋体"/>
          <w:color w:val="auto"/>
          <w:sz w:val="22"/>
          <w:szCs w:val="21"/>
          <w:highlight w:val="none"/>
        </w:rPr>
        <w:t>.1形式评审与响应性评审标准：见评标办法前附表。</w:t>
      </w:r>
    </w:p>
    <w:p>
      <w:pPr>
        <w:tabs>
          <w:tab w:val="left" w:pos="940"/>
          <w:tab w:val="left" w:pos="2160"/>
        </w:tabs>
        <w:overflowPunct w:val="0"/>
        <w:adjustRightInd w:val="0"/>
        <w:snapToGrid w:val="0"/>
        <w:spacing w:line="360" w:lineRule="auto"/>
        <w:ind w:left="420"/>
        <w:rPr>
          <w:rFonts w:hint="eastAsia" w:ascii="宋体" w:hAnsi="宋体" w:eastAsia="宋体" w:cs="宋体"/>
          <w:color w:val="auto"/>
          <w:sz w:val="22"/>
          <w:szCs w:val="21"/>
          <w:highlight w:val="none"/>
        </w:rPr>
      </w:pPr>
      <w:r>
        <w:rPr>
          <w:rFonts w:hint="eastAsia" w:ascii="宋体" w:hAnsi="宋体" w:eastAsia="宋体" w:cs="宋体"/>
          <w:color w:val="auto"/>
          <w:sz w:val="22"/>
          <w:szCs w:val="21"/>
          <w:highlight w:val="none"/>
        </w:rPr>
        <w:t>2.</w:t>
      </w:r>
      <w:r>
        <w:rPr>
          <w:rFonts w:hint="eastAsia" w:ascii="宋体" w:hAnsi="宋体" w:eastAsia="宋体" w:cs="宋体"/>
          <w:color w:val="auto"/>
          <w:sz w:val="22"/>
          <w:szCs w:val="21"/>
          <w:highlight w:val="none"/>
          <w:lang w:val="en-US" w:eastAsia="zh-CN"/>
        </w:rPr>
        <w:t>1</w:t>
      </w:r>
      <w:r>
        <w:rPr>
          <w:rFonts w:hint="eastAsia" w:ascii="宋体" w:hAnsi="宋体" w:eastAsia="宋体" w:cs="宋体"/>
          <w:color w:val="auto"/>
          <w:sz w:val="22"/>
          <w:szCs w:val="21"/>
          <w:highlight w:val="none"/>
        </w:rPr>
        <w:t>.2资格评审标准：见评标办法前附表。</w:t>
      </w:r>
    </w:p>
    <w:p>
      <w:pPr>
        <w:tabs>
          <w:tab w:val="left" w:pos="940"/>
          <w:tab w:val="left" w:pos="2160"/>
        </w:tabs>
        <w:overflowPunct w:val="0"/>
        <w:adjustRightInd w:val="0"/>
        <w:snapToGrid w:val="0"/>
        <w:spacing w:line="360" w:lineRule="auto"/>
        <w:ind w:left="420"/>
        <w:rPr>
          <w:rFonts w:hint="eastAsia" w:ascii="宋体" w:hAnsi="宋体" w:eastAsia="宋体" w:cs="宋体"/>
          <w:color w:val="auto"/>
          <w:kern w:val="2"/>
          <w:sz w:val="22"/>
          <w:szCs w:val="21"/>
          <w:highlight w:val="none"/>
          <w:lang w:val="en-US" w:eastAsia="zh-CN" w:bidi="ar-SA"/>
        </w:rPr>
      </w:pPr>
      <w:r>
        <w:rPr>
          <w:rFonts w:hint="eastAsia" w:ascii="宋体" w:hAnsi="宋体" w:eastAsia="宋体" w:cs="宋体"/>
          <w:color w:val="auto"/>
          <w:kern w:val="2"/>
          <w:sz w:val="22"/>
          <w:szCs w:val="21"/>
          <w:highlight w:val="none"/>
          <w:lang w:val="en-US" w:eastAsia="zh-CN" w:bidi="ar-SA"/>
        </w:rPr>
        <w:t>2.1.3 响应性评审标准：见评标办法前附表。</w:t>
      </w:r>
    </w:p>
    <w:p>
      <w:pPr>
        <w:pStyle w:val="11"/>
        <w:spacing w:before="120" w:beforeLines="50" w:after="120" w:afterLines="50" w:line="312"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2.2详细评审标准</w:t>
      </w:r>
    </w:p>
    <w:p>
      <w:pPr>
        <w:adjustRightInd w:val="0"/>
        <w:snapToGrid w:val="0"/>
        <w:spacing w:line="360" w:lineRule="auto"/>
        <w:ind w:firstLine="440" w:firstLineChars="200"/>
        <w:rPr>
          <w:rFonts w:hint="eastAsia" w:ascii="宋体" w:hAnsi="宋体" w:eastAsia="宋体" w:cs="宋体"/>
          <w:color w:val="auto"/>
          <w:sz w:val="22"/>
          <w:szCs w:val="21"/>
          <w:highlight w:val="none"/>
        </w:rPr>
      </w:pPr>
      <w:r>
        <w:rPr>
          <w:rFonts w:hint="eastAsia" w:ascii="宋体" w:hAnsi="宋体" w:eastAsia="宋体" w:cs="宋体"/>
          <w:color w:val="auto"/>
          <w:sz w:val="22"/>
          <w:szCs w:val="21"/>
          <w:highlight w:val="none"/>
        </w:rPr>
        <w:t>详细评审标准：见评标办法前附表。</w:t>
      </w:r>
    </w:p>
    <w:p>
      <w:pPr>
        <w:keepNext w:val="0"/>
        <w:keepLines w:val="0"/>
        <w:pageBreakBefore w:val="0"/>
        <w:widowControl/>
        <w:kinsoku/>
        <w:wordWrap/>
        <w:overflowPunct/>
        <w:topLinePunct w:val="0"/>
        <w:autoSpaceDE/>
        <w:autoSpaceDN/>
        <w:bidi w:val="0"/>
        <w:adjustRightInd/>
        <w:snapToGrid/>
        <w:spacing w:line="400" w:lineRule="exact"/>
        <w:jc w:val="both"/>
        <w:textAlignment w:val="auto"/>
        <w:rPr>
          <w:rFonts w:hint="eastAsia" w:ascii="宋体" w:hAnsi="宋体" w:eastAsia="宋体" w:cs="宋体"/>
          <w:bCs/>
          <w:color w:val="auto"/>
          <w:kern w:val="0"/>
          <w:sz w:val="30"/>
          <w:szCs w:val="30"/>
          <w:highlight w:val="none"/>
        </w:rPr>
      </w:pPr>
      <w:r>
        <w:rPr>
          <w:rFonts w:hint="eastAsia" w:ascii="宋体" w:hAnsi="宋体" w:eastAsia="宋体" w:cs="宋体"/>
          <w:bCs/>
          <w:color w:val="auto"/>
          <w:kern w:val="0"/>
          <w:sz w:val="30"/>
          <w:szCs w:val="30"/>
          <w:highlight w:val="none"/>
        </w:rPr>
        <w:t>3.评标程序</w:t>
      </w:r>
    </w:p>
    <w:p>
      <w:pPr>
        <w:pStyle w:val="11"/>
        <w:keepNext w:val="0"/>
        <w:keepLines w:val="0"/>
        <w:pageBreakBefore w:val="0"/>
        <w:kinsoku/>
        <w:wordWrap/>
        <w:overflowPunct/>
        <w:topLinePunct w:val="0"/>
        <w:autoSpaceDE/>
        <w:autoSpaceDN/>
        <w:bidi w:val="0"/>
        <w:adjustRightInd/>
        <w:snapToGrid/>
        <w:spacing w:before="120" w:beforeLines="50" w:after="120" w:afterLines="50" w:line="400" w:lineRule="exac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3.1第一个信封商务及技术文件评审</w:t>
      </w:r>
    </w:p>
    <w:p>
      <w:pPr>
        <w:adjustRightInd w:val="0"/>
        <w:snapToGrid w:val="0"/>
        <w:spacing w:line="360" w:lineRule="auto"/>
        <w:ind w:firstLine="440" w:firstLineChars="200"/>
        <w:rPr>
          <w:rFonts w:hint="eastAsia" w:ascii="宋体" w:hAnsi="宋体" w:eastAsia="宋体" w:cs="宋体"/>
          <w:bCs/>
          <w:color w:val="auto"/>
          <w:sz w:val="22"/>
          <w:szCs w:val="21"/>
          <w:highlight w:val="none"/>
        </w:rPr>
      </w:pPr>
      <w:r>
        <w:rPr>
          <w:rFonts w:hint="eastAsia" w:ascii="宋体" w:hAnsi="宋体" w:eastAsia="宋体" w:cs="宋体"/>
          <w:bCs/>
          <w:color w:val="auto"/>
          <w:sz w:val="22"/>
          <w:szCs w:val="21"/>
          <w:highlight w:val="none"/>
        </w:rPr>
        <w:t>3.1.1第一个信封初步评审</w:t>
      </w:r>
    </w:p>
    <w:p>
      <w:pPr>
        <w:adjustRightInd w:val="0"/>
        <w:snapToGrid w:val="0"/>
        <w:spacing w:line="360" w:lineRule="auto"/>
        <w:ind w:firstLine="440" w:firstLineChars="200"/>
        <w:rPr>
          <w:rFonts w:hint="eastAsia" w:ascii="宋体" w:hAnsi="宋体" w:eastAsia="宋体" w:cs="宋体"/>
          <w:bCs/>
          <w:color w:val="auto"/>
          <w:sz w:val="22"/>
          <w:szCs w:val="21"/>
          <w:highlight w:val="none"/>
        </w:rPr>
      </w:pPr>
      <w:r>
        <w:rPr>
          <w:rFonts w:hint="eastAsia" w:ascii="宋体" w:hAnsi="宋体" w:eastAsia="宋体" w:cs="宋体"/>
          <w:bCs/>
          <w:color w:val="auto"/>
          <w:sz w:val="22"/>
          <w:szCs w:val="21"/>
          <w:highlight w:val="none"/>
        </w:rPr>
        <w:t>评标委员会可以要求投标人提交第二章“投标人须知”规定的有关证明和证件的原件，以便核验。评标委员会依据本章第 2.1 款规定的标准对投标文件进行初步评审。有一项不符合评审标准的，评标委员会应当否决其投标。</w:t>
      </w:r>
    </w:p>
    <w:p>
      <w:pPr>
        <w:adjustRightInd w:val="0"/>
        <w:snapToGrid w:val="0"/>
        <w:spacing w:line="360" w:lineRule="auto"/>
        <w:ind w:firstLine="440" w:firstLineChars="200"/>
        <w:rPr>
          <w:rFonts w:hint="eastAsia" w:ascii="宋体" w:hAnsi="宋体" w:eastAsia="宋体" w:cs="宋体"/>
          <w:bCs/>
          <w:color w:val="auto"/>
          <w:sz w:val="22"/>
          <w:szCs w:val="21"/>
          <w:highlight w:val="none"/>
        </w:rPr>
      </w:pPr>
      <w:r>
        <w:rPr>
          <w:rFonts w:hint="eastAsia" w:ascii="宋体" w:hAnsi="宋体" w:eastAsia="宋体" w:cs="宋体"/>
          <w:bCs/>
          <w:color w:val="auto"/>
          <w:sz w:val="22"/>
          <w:szCs w:val="21"/>
          <w:highlight w:val="none"/>
        </w:rPr>
        <w:t>3.1.2第一个信封详细评审</w:t>
      </w:r>
    </w:p>
    <w:p>
      <w:pPr>
        <w:snapToGrid w:val="0"/>
        <w:spacing w:line="336"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3.2.1评标委员会按本章第2.2.4（2）目规定的量化因素和分值进行打分，并计算出各投标人的商务和技术得分。</w:t>
      </w:r>
    </w:p>
    <w:p>
      <w:pPr>
        <w:snapToGrid w:val="0"/>
        <w:spacing w:line="336"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3.2.2投标人的商务和技术得分分值计算保留小数点后两位，小数点后第三位“四舍五入”。</w:t>
      </w:r>
    </w:p>
    <w:p>
      <w:pPr>
        <w:pStyle w:val="11"/>
        <w:spacing w:before="120" w:beforeLines="50" w:after="120" w:afterLines="50" w:line="312"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3.2第二个信封报价文件开标</w:t>
      </w:r>
    </w:p>
    <w:p>
      <w:pPr>
        <w:adjustRightInd w:val="0"/>
        <w:snapToGrid w:val="0"/>
        <w:spacing w:line="360" w:lineRule="auto"/>
        <w:ind w:firstLine="440" w:firstLineChars="200"/>
        <w:rPr>
          <w:rFonts w:hint="eastAsia" w:ascii="宋体" w:hAnsi="宋体" w:eastAsia="宋体" w:cs="宋体"/>
          <w:bCs/>
          <w:color w:val="auto"/>
          <w:sz w:val="22"/>
          <w:szCs w:val="21"/>
          <w:highlight w:val="none"/>
        </w:rPr>
      </w:pPr>
      <w:r>
        <w:rPr>
          <w:rFonts w:hint="eastAsia" w:ascii="宋体" w:hAnsi="宋体" w:eastAsia="宋体" w:cs="宋体"/>
          <w:color w:val="auto"/>
          <w:sz w:val="22"/>
          <w:szCs w:val="22"/>
          <w:highlight w:val="none"/>
        </w:rPr>
        <w:t>第一个信封（商务及技术文件）评审结束后，招标人将按照第二章“投标人须知”第5.1款规定的时间和地点对通过投标文件第一个信封（商务及技术文件）评审的 投标文件第二个信封（报价文件）进行开标。</w:t>
      </w:r>
    </w:p>
    <w:p>
      <w:pPr>
        <w:pStyle w:val="11"/>
        <w:spacing w:before="120" w:beforeLines="50" w:after="120" w:afterLines="50" w:line="312" w:lineRule="auto"/>
        <w:rPr>
          <w:rFonts w:hint="eastAsia" w:ascii="宋体" w:hAnsi="宋体" w:eastAsia="宋体" w:cs="宋体"/>
          <w:bCs/>
          <w:color w:val="auto"/>
          <w:sz w:val="22"/>
          <w:szCs w:val="21"/>
          <w:highlight w:val="none"/>
        </w:rPr>
      </w:pPr>
      <w:r>
        <w:rPr>
          <w:rFonts w:hint="eastAsia" w:ascii="宋体" w:hAnsi="宋体" w:eastAsia="宋体" w:cs="宋体"/>
          <w:color w:val="auto"/>
          <w:sz w:val="24"/>
          <w:highlight w:val="none"/>
        </w:rPr>
        <w:t>3.3第二个信封报价文件评审</w:t>
      </w:r>
    </w:p>
    <w:p>
      <w:pPr>
        <w:adjustRightInd w:val="0"/>
        <w:snapToGrid w:val="0"/>
        <w:spacing w:line="360" w:lineRule="auto"/>
        <w:ind w:firstLine="440" w:firstLineChars="200"/>
        <w:rPr>
          <w:rFonts w:hint="eastAsia" w:ascii="宋体" w:hAnsi="宋体" w:eastAsia="宋体" w:cs="宋体"/>
          <w:bCs/>
          <w:color w:val="auto"/>
          <w:sz w:val="22"/>
          <w:szCs w:val="21"/>
          <w:highlight w:val="none"/>
        </w:rPr>
      </w:pPr>
      <w:r>
        <w:rPr>
          <w:rFonts w:hint="eastAsia" w:ascii="宋体" w:hAnsi="宋体" w:eastAsia="宋体" w:cs="宋体"/>
          <w:bCs/>
          <w:color w:val="auto"/>
          <w:sz w:val="22"/>
          <w:szCs w:val="21"/>
          <w:highlight w:val="none"/>
        </w:rPr>
        <w:t>3.3.1第二个信封初步评审</w:t>
      </w:r>
    </w:p>
    <w:p>
      <w:pPr>
        <w:adjustRightInd w:val="0"/>
        <w:snapToGrid w:val="0"/>
        <w:spacing w:line="360" w:lineRule="auto"/>
        <w:ind w:firstLine="440" w:firstLineChars="200"/>
        <w:rPr>
          <w:rFonts w:hint="eastAsia" w:ascii="宋体" w:hAnsi="宋体" w:eastAsia="宋体" w:cs="宋体"/>
          <w:bCs/>
          <w:color w:val="auto"/>
          <w:sz w:val="22"/>
          <w:szCs w:val="21"/>
          <w:highlight w:val="none"/>
        </w:rPr>
      </w:pPr>
      <w:r>
        <w:rPr>
          <w:rFonts w:hint="eastAsia" w:ascii="宋体" w:hAnsi="宋体" w:eastAsia="宋体" w:cs="宋体"/>
          <w:bCs/>
          <w:color w:val="auto"/>
          <w:sz w:val="22"/>
          <w:szCs w:val="21"/>
          <w:highlight w:val="none"/>
        </w:rPr>
        <w:t>3.3.1.1</w:t>
      </w:r>
      <w:r>
        <w:rPr>
          <w:rFonts w:hint="eastAsia" w:ascii="宋体" w:hAnsi="宋体" w:eastAsia="宋体" w:cs="宋体"/>
          <w:color w:val="auto"/>
          <w:sz w:val="22"/>
          <w:szCs w:val="22"/>
          <w:highlight w:val="none"/>
        </w:rPr>
        <w:t>评标委员会依据本章第 2.1.1 项规定的评审标准对投标文件第二个信封（报价文件）进行初步评审。有一项不符合评审标准的，评标委员会应否决其投标。</w:t>
      </w:r>
    </w:p>
    <w:p>
      <w:pPr>
        <w:adjustRightInd w:val="0"/>
        <w:snapToGrid w:val="0"/>
        <w:spacing w:line="360" w:lineRule="auto"/>
        <w:ind w:firstLine="440" w:firstLineChars="200"/>
        <w:rPr>
          <w:rFonts w:hint="eastAsia" w:ascii="宋体" w:hAnsi="宋体" w:eastAsia="宋体" w:cs="宋体"/>
          <w:bCs/>
          <w:color w:val="auto"/>
          <w:sz w:val="22"/>
          <w:szCs w:val="21"/>
          <w:highlight w:val="none"/>
        </w:rPr>
      </w:pPr>
      <w:r>
        <w:rPr>
          <w:rFonts w:hint="eastAsia" w:ascii="宋体" w:hAnsi="宋体" w:eastAsia="宋体" w:cs="宋体"/>
          <w:bCs/>
          <w:color w:val="auto"/>
          <w:sz w:val="22"/>
          <w:szCs w:val="21"/>
          <w:highlight w:val="none"/>
        </w:rPr>
        <w:t>3.3.1.2投标报价有算术错误及其他错误的，评标委员会按以下原则要求投标人对投标报价进行修正，并要求投标人书面澄清确认。投标人拒不澄清确认的，评标委员会应当否决其投标：</w:t>
      </w:r>
    </w:p>
    <w:p>
      <w:pPr>
        <w:adjustRightInd w:val="0"/>
        <w:snapToGrid w:val="0"/>
        <w:spacing w:line="360" w:lineRule="auto"/>
        <w:ind w:firstLine="440" w:firstLineChars="200"/>
        <w:rPr>
          <w:rFonts w:hint="eastAsia" w:ascii="宋体" w:hAnsi="宋体" w:eastAsia="宋体" w:cs="宋体"/>
          <w:bCs/>
          <w:color w:val="auto"/>
          <w:sz w:val="22"/>
          <w:szCs w:val="21"/>
          <w:highlight w:val="none"/>
        </w:rPr>
      </w:pPr>
      <w:bookmarkStart w:id="17" w:name="page48"/>
      <w:bookmarkEnd w:id="17"/>
      <w:r>
        <w:rPr>
          <w:rFonts w:hint="eastAsia" w:ascii="宋体" w:hAnsi="宋体" w:eastAsia="宋体" w:cs="宋体"/>
          <w:bCs/>
          <w:color w:val="auto"/>
          <w:sz w:val="22"/>
          <w:szCs w:val="21"/>
          <w:highlight w:val="none"/>
        </w:rPr>
        <w:t>（1）投标文件中的大写金额与小写金额不一致的，以大写金额为准；</w:t>
      </w:r>
    </w:p>
    <w:p>
      <w:pPr>
        <w:adjustRightInd w:val="0"/>
        <w:snapToGrid w:val="0"/>
        <w:spacing w:line="360" w:lineRule="auto"/>
        <w:ind w:firstLine="440" w:firstLineChars="200"/>
        <w:rPr>
          <w:rFonts w:hint="eastAsia" w:ascii="宋体" w:hAnsi="宋体" w:eastAsia="宋体" w:cs="宋体"/>
          <w:bCs/>
          <w:color w:val="auto"/>
          <w:sz w:val="22"/>
          <w:szCs w:val="21"/>
          <w:highlight w:val="none"/>
        </w:rPr>
      </w:pPr>
      <w:r>
        <w:rPr>
          <w:rFonts w:hint="eastAsia" w:ascii="宋体" w:hAnsi="宋体" w:eastAsia="宋体" w:cs="宋体"/>
          <w:bCs/>
          <w:color w:val="auto"/>
          <w:sz w:val="22"/>
          <w:szCs w:val="21"/>
          <w:highlight w:val="none"/>
        </w:rPr>
        <w:t>（2）总价金额与单价金额不一致的，以单价金额为准，但单价金额小数点有明显错误的除外；</w:t>
      </w:r>
    </w:p>
    <w:p>
      <w:pPr>
        <w:adjustRightInd w:val="0"/>
        <w:snapToGrid w:val="0"/>
        <w:spacing w:line="360" w:lineRule="auto"/>
        <w:ind w:firstLine="440" w:firstLineChars="200"/>
        <w:rPr>
          <w:rFonts w:hint="eastAsia" w:ascii="宋体" w:hAnsi="宋体" w:eastAsia="宋体" w:cs="宋体"/>
          <w:bCs/>
          <w:color w:val="auto"/>
          <w:sz w:val="22"/>
          <w:szCs w:val="21"/>
          <w:highlight w:val="none"/>
        </w:rPr>
      </w:pPr>
      <w:r>
        <w:rPr>
          <w:rFonts w:hint="eastAsia" w:ascii="宋体" w:hAnsi="宋体" w:eastAsia="宋体" w:cs="宋体"/>
          <w:bCs/>
          <w:color w:val="auto"/>
          <w:sz w:val="22"/>
          <w:szCs w:val="21"/>
          <w:highlight w:val="none"/>
        </w:rPr>
        <w:t>（3）投标报价为各分项报价金额之和，投标报价与分项报价的合价不一致的，应以各分项合价累计数为准，修正投标报价；</w:t>
      </w:r>
    </w:p>
    <w:p>
      <w:pPr>
        <w:adjustRightInd w:val="0"/>
        <w:snapToGrid w:val="0"/>
        <w:spacing w:line="360" w:lineRule="auto"/>
        <w:ind w:firstLine="440" w:firstLineChars="200"/>
        <w:rPr>
          <w:rFonts w:hint="eastAsia" w:ascii="宋体" w:hAnsi="宋体" w:eastAsia="宋体" w:cs="宋体"/>
          <w:bCs/>
          <w:color w:val="auto"/>
          <w:sz w:val="22"/>
          <w:szCs w:val="21"/>
          <w:highlight w:val="none"/>
        </w:rPr>
      </w:pPr>
      <w:r>
        <w:rPr>
          <w:rFonts w:hint="eastAsia" w:ascii="宋体" w:hAnsi="宋体" w:eastAsia="宋体" w:cs="宋体"/>
          <w:bCs/>
          <w:color w:val="auto"/>
          <w:sz w:val="22"/>
          <w:szCs w:val="21"/>
          <w:highlight w:val="none"/>
        </w:rPr>
        <w:t>（4）如果分项报价中存在缺漏项，则视为缺漏项价格已包含在其他分项报价之中。</w:t>
      </w:r>
    </w:p>
    <w:p>
      <w:pPr>
        <w:adjustRightInd w:val="0"/>
        <w:snapToGrid w:val="0"/>
        <w:spacing w:line="360" w:lineRule="auto"/>
        <w:ind w:firstLine="440" w:firstLineChars="200"/>
        <w:rPr>
          <w:rFonts w:hint="eastAsia" w:ascii="宋体" w:hAnsi="宋体" w:eastAsia="宋体" w:cs="宋体"/>
          <w:bCs/>
          <w:color w:val="auto"/>
          <w:sz w:val="22"/>
          <w:szCs w:val="21"/>
          <w:highlight w:val="none"/>
        </w:rPr>
      </w:pPr>
      <w:r>
        <w:rPr>
          <w:rFonts w:hint="eastAsia" w:ascii="宋体" w:hAnsi="宋体" w:eastAsia="宋体" w:cs="宋体"/>
          <w:bCs/>
          <w:color w:val="auto"/>
          <w:sz w:val="22"/>
          <w:szCs w:val="21"/>
          <w:highlight w:val="none"/>
        </w:rPr>
        <w:t>3.3.1.3 修正后的最终投标报价若超过最高投标限价（如有），评标委员会应否决其投标。</w:t>
      </w:r>
    </w:p>
    <w:p>
      <w:pPr>
        <w:adjustRightInd w:val="0"/>
        <w:snapToGrid w:val="0"/>
        <w:spacing w:line="360" w:lineRule="auto"/>
        <w:ind w:firstLine="440" w:firstLineChars="200"/>
        <w:rPr>
          <w:rFonts w:hint="eastAsia" w:ascii="宋体" w:hAnsi="宋体" w:eastAsia="宋体" w:cs="宋体"/>
          <w:bCs/>
          <w:color w:val="auto"/>
          <w:sz w:val="22"/>
          <w:szCs w:val="21"/>
          <w:highlight w:val="none"/>
        </w:rPr>
      </w:pPr>
      <w:r>
        <w:rPr>
          <w:rFonts w:hint="eastAsia" w:ascii="宋体" w:hAnsi="宋体" w:eastAsia="宋体" w:cs="宋体"/>
          <w:bCs/>
          <w:color w:val="auto"/>
          <w:sz w:val="22"/>
          <w:szCs w:val="21"/>
          <w:highlight w:val="none"/>
        </w:rPr>
        <w:t>3.3.1.4 修正后的最终投标报价仅作为签订合同的一个依据，不参与评标价得分的计算。</w:t>
      </w:r>
    </w:p>
    <w:p>
      <w:pPr>
        <w:adjustRightInd w:val="0"/>
        <w:snapToGrid w:val="0"/>
        <w:spacing w:line="360" w:lineRule="auto"/>
        <w:ind w:firstLine="440" w:firstLineChars="200"/>
        <w:rPr>
          <w:rFonts w:hint="eastAsia" w:ascii="宋体" w:hAnsi="宋体" w:eastAsia="宋体" w:cs="宋体"/>
          <w:bCs/>
          <w:color w:val="auto"/>
          <w:sz w:val="22"/>
          <w:szCs w:val="21"/>
          <w:highlight w:val="none"/>
        </w:rPr>
      </w:pPr>
      <w:r>
        <w:rPr>
          <w:rFonts w:hint="eastAsia" w:ascii="宋体" w:hAnsi="宋体" w:eastAsia="宋体" w:cs="宋体"/>
          <w:bCs/>
          <w:color w:val="auto"/>
          <w:sz w:val="22"/>
          <w:szCs w:val="21"/>
          <w:highlight w:val="none"/>
        </w:rPr>
        <w:t>3.3.2第二个信封详细评审</w:t>
      </w:r>
    </w:p>
    <w:p>
      <w:pPr>
        <w:adjustRightInd w:val="0"/>
        <w:snapToGrid w:val="0"/>
        <w:spacing w:line="360" w:lineRule="auto"/>
        <w:ind w:firstLine="440" w:firstLineChars="200"/>
        <w:rPr>
          <w:rFonts w:hint="eastAsia" w:ascii="宋体" w:hAnsi="宋体" w:eastAsia="宋体" w:cs="宋体"/>
          <w:bCs/>
          <w:color w:val="auto"/>
          <w:sz w:val="22"/>
          <w:szCs w:val="21"/>
          <w:highlight w:val="none"/>
        </w:rPr>
      </w:pPr>
      <w:r>
        <w:rPr>
          <w:rFonts w:hint="eastAsia" w:ascii="宋体" w:hAnsi="宋体" w:eastAsia="宋体" w:cs="宋体"/>
          <w:bCs/>
          <w:color w:val="auto"/>
          <w:sz w:val="22"/>
          <w:szCs w:val="21"/>
          <w:highlight w:val="none"/>
        </w:rPr>
        <w:t>3.3.2.1 评标委员会按本章第 2.2.4项规定的评审因素和分值对评标价计算出得分 C。评标价得分分值计算保留小数点后两位，小数点后第三位“四舍五入”。</w:t>
      </w:r>
    </w:p>
    <w:p>
      <w:pPr>
        <w:adjustRightInd w:val="0"/>
        <w:snapToGrid w:val="0"/>
        <w:spacing w:line="360" w:lineRule="auto"/>
        <w:ind w:firstLine="440" w:firstLineChars="200"/>
        <w:rPr>
          <w:rFonts w:hint="eastAsia" w:ascii="宋体" w:hAnsi="宋体" w:eastAsia="宋体" w:cs="宋体"/>
          <w:bCs/>
          <w:color w:val="auto"/>
          <w:sz w:val="22"/>
          <w:szCs w:val="21"/>
          <w:highlight w:val="none"/>
        </w:rPr>
      </w:pPr>
      <w:r>
        <w:rPr>
          <w:rFonts w:hint="eastAsia" w:ascii="宋体" w:hAnsi="宋体" w:eastAsia="宋体" w:cs="宋体"/>
          <w:bCs/>
          <w:color w:val="auto"/>
          <w:sz w:val="22"/>
          <w:szCs w:val="21"/>
          <w:highlight w:val="none"/>
        </w:rPr>
        <w:t>3.3.2.2 投标人综合得分=投标人的商务及技术得分+C。</w:t>
      </w:r>
    </w:p>
    <w:p>
      <w:pPr>
        <w:adjustRightInd w:val="0"/>
        <w:snapToGrid w:val="0"/>
        <w:spacing w:line="360" w:lineRule="auto"/>
        <w:ind w:firstLine="440" w:firstLineChars="200"/>
        <w:rPr>
          <w:rFonts w:hint="eastAsia" w:ascii="宋体" w:hAnsi="宋体" w:eastAsia="宋体" w:cs="宋体"/>
          <w:bCs/>
          <w:color w:val="auto"/>
          <w:sz w:val="22"/>
          <w:szCs w:val="21"/>
          <w:highlight w:val="none"/>
        </w:rPr>
      </w:pPr>
      <w:r>
        <w:rPr>
          <w:rFonts w:hint="eastAsia" w:ascii="宋体" w:hAnsi="宋体" w:eastAsia="宋体" w:cs="宋体"/>
          <w:bCs/>
          <w:color w:val="auto"/>
          <w:sz w:val="22"/>
          <w:szCs w:val="21"/>
          <w:highlight w:val="none"/>
        </w:rPr>
        <w:t>3.3.2.3 评标委员会发现投标人的报价明显低于其他投标报价，使得其投标报价可能低于其个别成本的，应要求该投标人作出书面说明并提供相应的证明材料。投标人不能合理说明或不能提供相应证明材料的，评标委员会应认定该投标人以低于成本报价竞标，并否决其投标。</w:t>
      </w:r>
    </w:p>
    <w:p>
      <w:pPr>
        <w:adjustRightInd w:val="0"/>
        <w:snapToGrid w:val="0"/>
        <w:spacing w:line="360" w:lineRule="auto"/>
        <w:ind w:firstLine="440" w:firstLineChars="200"/>
        <w:rPr>
          <w:rFonts w:hint="eastAsia" w:ascii="宋体" w:hAnsi="宋体" w:eastAsia="宋体" w:cs="宋体"/>
          <w:bCs/>
          <w:color w:val="auto"/>
          <w:sz w:val="22"/>
          <w:szCs w:val="21"/>
          <w:highlight w:val="none"/>
        </w:rPr>
      </w:pPr>
      <w:r>
        <w:rPr>
          <w:rFonts w:hint="eastAsia" w:ascii="宋体" w:hAnsi="宋体" w:eastAsia="宋体" w:cs="宋体"/>
          <w:bCs/>
          <w:color w:val="auto"/>
          <w:sz w:val="22"/>
          <w:szCs w:val="21"/>
          <w:highlight w:val="none"/>
        </w:rPr>
        <w:t>3.3.3对于通过第一个信封商务及技术文件评审的投标人少于3个且评标委员会未否决全部投标的第二个信封报价文件，评标委员会在进行评审时仍有权否决全部投标；评标委员会未在报价文件评审时否决全部投标的，应当在评标报告中阐明理由。</w:t>
      </w:r>
    </w:p>
    <w:p>
      <w:pPr>
        <w:pStyle w:val="11"/>
        <w:spacing w:before="120" w:beforeLines="50" w:after="120" w:afterLines="50" w:line="312"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3.4投标文件的澄清</w:t>
      </w:r>
    </w:p>
    <w:p>
      <w:pPr>
        <w:tabs>
          <w:tab w:val="left" w:pos="946"/>
          <w:tab w:val="left" w:pos="2160"/>
        </w:tabs>
        <w:overflowPunct w:val="0"/>
        <w:adjustRightInd w:val="0"/>
        <w:snapToGrid w:val="0"/>
        <w:spacing w:line="360" w:lineRule="auto"/>
        <w:ind w:firstLine="440" w:firstLineChars="200"/>
        <w:rPr>
          <w:rFonts w:hint="eastAsia" w:ascii="宋体" w:hAnsi="宋体" w:eastAsia="宋体" w:cs="宋体"/>
          <w:color w:val="auto"/>
          <w:sz w:val="22"/>
          <w:szCs w:val="21"/>
          <w:highlight w:val="none"/>
        </w:rPr>
      </w:pPr>
      <w:r>
        <w:rPr>
          <w:rFonts w:hint="eastAsia" w:ascii="宋体" w:hAnsi="宋体" w:eastAsia="宋体" w:cs="宋体"/>
          <w:color w:val="auto"/>
          <w:sz w:val="22"/>
          <w:szCs w:val="21"/>
          <w:highlight w:val="none"/>
        </w:rPr>
        <w:t>在评标过程中，评标委员会可以书面形式要求投标人对投标文件中含义不明确、对同类问题表述不一致或者有明显文字和计算错误的内容作必要的澄清、说明或补正。澄清、说明或补正应以书面方式进行。评标委员会不接受投标人主动提出的澄清、说明或补正。</w:t>
      </w:r>
    </w:p>
    <w:p>
      <w:pPr>
        <w:tabs>
          <w:tab w:val="left" w:pos="946"/>
          <w:tab w:val="left" w:pos="2160"/>
        </w:tabs>
        <w:overflowPunct w:val="0"/>
        <w:adjustRightInd w:val="0"/>
        <w:snapToGrid w:val="0"/>
        <w:spacing w:line="360" w:lineRule="auto"/>
        <w:ind w:firstLine="440" w:firstLineChars="200"/>
        <w:rPr>
          <w:rFonts w:hint="eastAsia" w:ascii="宋体" w:hAnsi="宋体" w:eastAsia="宋体" w:cs="宋体"/>
          <w:color w:val="auto"/>
          <w:sz w:val="22"/>
          <w:szCs w:val="21"/>
          <w:highlight w:val="none"/>
        </w:rPr>
      </w:pPr>
      <w:r>
        <w:rPr>
          <w:rFonts w:hint="eastAsia" w:ascii="宋体" w:hAnsi="宋体" w:eastAsia="宋体" w:cs="宋体"/>
          <w:color w:val="auto"/>
          <w:sz w:val="22"/>
          <w:szCs w:val="21"/>
          <w:highlight w:val="none"/>
        </w:rPr>
        <w:t>3.4.1澄清、说明或补正不得超出投标文件的范围且不得改变投标文件的实质性内容，并构成投标文件的组成部分。</w:t>
      </w:r>
    </w:p>
    <w:p>
      <w:pPr>
        <w:tabs>
          <w:tab w:val="left" w:pos="946"/>
          <w:tab w:val="left" w:pos="2160"/>
        </w:tabs>
        <w:overflowPunct w:val="0"/>
        <w:adjustRightInd w:val="0"/>
        <w:snapToGrid w:val="0"/>
        <w:spacing w:line="360" w:lineRule="auto"/>
        <w:ind w:firstLine="440" w:firstLineChars="200"/>
        <w:rPr>
          <w:rFonts w:hint="eastAsia" w:ascii="宋体" w:hAnsi="宋体" w:eastAsia="宋体" w:cs="宋体"/>
          <w:color w:val="auto"/>
          <w:sz w:val="22"/>
          <w:szCs w:val="21"/>
          <w:highlight w:val="none"/>
        </w:rPr>
      </w:pPr>
      <w:r>
        <w:rPr>
          <w:rFonts w:hint="eastAsia" w:ascii="宋体" w:hAnsi="宋体" w:eastAsia="宋体" w:cs="宋体"/>
          <w:color w:val="auto"/>
          <w:sz w:val="22"/>
          <w:szCs w:val="21"/>
          <w:highlight w:val="none"/>
        </w:rPr>
        <w:t>3.4.2评标委员会对投标人提交的澄清、说明或补正有疑问的，可以要求投标人进一步澄清、说明或补正，直至满足评标委员会的要求。</w:t>
      </w:r>
    </w:p>
    <w:p>
      <w:pPr>
        <w:pStyle w:val="11"/>
        <w:spacing w:before="120" w:beforeLines="50" w:after="120" w:afterLines="50" w:line="312"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3.5评标结果</w:t>
      </w:r>
    </w:p>
    <w:p>
      <w:pPr>
        <w:keepNext w:val="0"/>
        <w:keepLines w:val="0"/>
        <w:pageBreakBefore w:val="0"/>
        <w:widowControl w:val="0"/>
        <w:shd w:val="clear" w:color="auto" w:fill="FFFFFF"/>
        <w:kinsoku/>
        <w:wordWrap/>
        <w:topLinePunct w:val="0"/>
        <w:autoSpaceDE/>
        <w:autoSpaceDN/>
        <w:bidi w:val="0"/>
        <w:spacing w:line="360" w:lineRule="auto"/>
        <w:ind w:firstLine="440" w:firstLineChars="200"/>
        <w:jc w:val="left"/>
        <w:textAlignment w:val="auto"/>
        <w:rPr>
          <w:rFonts w:hint="eastAsia" w:ascii="宋体" w:hAnsi="宋体" w:eastAsia="宋体" w:cs="宋体"/>
          <w:color w:val="auto"/>
          <w:sz w:val="22"/>
          <w:szCs w:val="21"/>
          <w:highlight w:val="none"/>
        </w:rPr>
      </w:pPr>
      <w:r>
        <w:rPr>
          <w:rFonts w:hint="eastAsia" w:ascii="宋体" w:hAnsi="宋体" w:eastAsia="宋体" w:cs="宋体"/>
          <w:color w:val="auto"/>
          <w:sz w:val="22"/>
          <w:szCs w:val="21"/>
          <w:highlight w:val="none"/>
        </w:rPr>
        <w:t>3.5.1</w:t>
      </w:r>
      <w:r>
        <w:rPr>
          <w:rFonts w:hint="eastAsia" w:ascii="宋体" w:hAnsi="宋体" w:eastAsia="宋体" w:cs="宋体"/>
          <w:color w:val="auto"/>
          <w:sz w:val="22"/>
          <w:szCs w:val="22"/>
          <w:highlight w:val="none"/>
        </w:rPr>
        <w:t>评标委员会按照综合得分由高到低的顺序推荐中标候选人，并标明排序。</w:t>
      </w:r>
    </w:p>
    <w:p>
      <w:pPr>
        <w:keepNext w:val="0"/>
        <w:keepLines w:val="0"/>
        <w:pageBreakBefore w:val="0"/>
        <w:widowControl w:val="0"/>
        <w:tabs>
          <w:tab w:val="left" w:pos="946"/>
          <w:tab w:val="left" w:pos="2160"/>
        </w:tabs>
        <w:kinsoku/>
        <w:wordWrap/>
        <w:overflowPunct w:val="0"/>
        <w:topLinePunct w:val="0"/>
        <w:autoSpaceDE/>
        <w:autoSpaceDN/>
        <w:bidi w:val="0"/>
        <w:adjustRightInd w:val="0"/>
        <w:snapToGrid w:val="0"/>
        <w:spacing w:line="360" w:lineRule="auto"/>
        <w:ind w:firstLine="440" w:firstLineChars="200"/>
        <w:jc w:val="left"/>
        <w:textAlignment w:val="auto"/>
      </w:pPr>
      <w:r>
        <w:rPr>
          <w:rFonts w:hint="eastAsia" w:ascii="宋体" w:hAnsi="宋体" w:eastAsia="宋体" w:cs="宋体"/>
          <w:color w:val="auto"/>
          <w:sz w:val="22"/>
          <w:szCs w:val="21"/>
          <w:highlight w:val="none"/>
        </w:rPr>
        <w:t>3.5.2评标委员会完成评标后，应当向招标人提交书面评标报告和中标候选人名单。</w:t>
      </w:r>
      <w:bookmarkStart w:id="18" w:name="_GoBack"/>
      <w:bookmarkEnd w:id="18"/>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6"/>
                            <w:rPr>
                              <w:rFonts w:hint="eastAsia"/>
                            </w:rPr>
                          </w:pPr>
                          <w:r>
                            <w:rPr>
                              <w:rFonts w:hint="eastAsia"/>
                            </w:rPr>
                            <w:fldChar w:fldCharType="begin"/>
                          </w:r>
                          <w:r>
                            <w:rPr>
                              <w:rFonts w:hint="eastAsia"/>
                            </w:rPr>
                            <w:instrText xml:space="preserve"> PAGE  \* MERGEFORMAT </w:instrText>
                          </w:r>
                          <w:r>
                            <w:rPr>
                              <w:rFonts w:hint="eastAsia"/>
                            </w:rPr>
                            <w:fldChar w:fldCharType="separate"/>
                          </w:r>
                          <w:r>
                            <w:t>48</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ixWE+tIBAACjAwAADgAAAAAAAAABACAAAAAi&#10;AQAAZHJzL2Uyb0RvYy54bWxQSwUGAAAAAAYABgBZAQAAZgUAAAAA&#10;">
              <v:path/>
              <v:fill on="f" focussize="0,0"/>
              <v:stroke on="f" weight="1.25pt"/>
              <v:imagedata o:title=""/>
              <o:lock v:ext="edit" aspectratio="f"/>
              <v:textbox inset="0mm,0mm,0mm,0mm" style="mso-fit-shape-to-text:t;">
                <w:txbxContent>
                  <w:p>
                    <w:pPr>
                      <w:pStyle w:val="6"/>
                      <w:rPr>
                        <w:rFonts w:hint="eastAsia"/>
                      </w:rPr>
                    </w:pPr>
                    <w:r>
                      <w:rPr>
                        <w:rFonts w:hint="eastAsia"/>
                      </w:rPr>
                      <w:fldChar w:fldCharType="begin"/>
                    </w:r>
                    <w:r>
                      <w:rPr>
                        <w:rFonts w:hint="eastAsia"/>
                      </w:rPr>
                      <w:instrText xml:space="preserve"> PAGE  \* MERGEFORMAT </w:instrText>
                    </w:r>
                    <w:r>
                      <w:rPr>
                        <w:rFonts w:hint="eastAsia"/>
                      </w:rPr>
                      <w:fldChar w:fldCharType="separate"/>
                    </w:r>
                    <w:r>
                      <w:t>48</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rPr>
        <w:rFonts w:hint="eastAsia"/>
        <w:bC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top w:val="none" w:color="auto" w:sz="0" w:space="0"/>
        <w:left w:val="none" w:color="auto" w:sz="0" w:space="0"/>
        <w:bottom w:val="none" w:color="auto" w:sz="0" w:space="0"/>
        <w:right w:val="none" w:color="auto" w:sz="0" w:space="0"/>
        <w:between w:val="none" w:color="auto" w:sz="0" w:space="0"/>
      </w:pBdr>
      <w:jc w:val="both"/>
      <w:rPr>
        <w:rFonts w:hint="eastAsia"/>
        <w:b/>
      </w:rPr>
    </w:pPr>
    <w:r>
      <w:rPr>
        <w:rFonts w:hint="eastAsia"/>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CAC3EFC"/>
    <w:multiLevelType w:val="singleLevel"/>
    <w:tmpl w:val="BCAC3EFC"/>
    <w:lvl w:ilvl="0" w:tentative="0">
      <w:start w:val="1"/>
      <w:numFmt w:val="decimal"/>
      <w:suff w:val="nothing"/>
      <w:lvlText w:val="（%1）"/>
      <w:lvlJc w:val="left"/>
    </w:lvl>
  </w:abstractNum>
  <w:abstractNum w:abstractNumId="1">
    <w:nsid w:val="DDFEE786"/>
    <w:multiLevelType w:val="singleLevel"/>
    <w:tmpl w:val="DDFEE786"/>
    <w:lvl w:ilvl="0" w:tentative="0">
      <w:start w:val="1"/>
      <w:numFmt w:val="decimal"/>
      <w:suff w:val="nothing"/>
      <w:lvlText w:val="（%1）"/>
      <w:lvlJc w:val="left"/>
    </w:lvl>
  </w:abstractNum>
  <w:abstractNum w:abstractNumId="2">
    <w:nsid w:val="31E2B9FC"/>
    <w:multiLevelType w:val="singleLevel"/>
    <w:tmpl w:val="31E2B9FC"/>
    <w:lvl w:ilvl="0" w:tentative="0">
      <w:start w:val="3"/>
      <w:numFmt w:val="chineseCounting"/>
      <w:suff w:val="space"/>
      <w:lvlText w:val="第%1章"/>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footnotePr>
    <w:numFmt w:val="decimalEnclosedCircleChinese"/>
    <w:numRestart w:val="eachPage"/>
  </w:footnotePr>
  <w:endnotePr>
    <w:numFmt w:val="decimalEnclosedCircleChinese"/>
    <w:numRestart w:val="eachSect"/>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7B1E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beforeLines="0" w:after="330" w:afterLines="0" w:line="576" w:lineRule="auto"/>
      <w:outlineLvl w:val="0"/>
    </w:pPr>
    <w:rPr>
      <w:b/>
      <w:bCs/>
      <w:kern w:val="44"/>
      <w:sz w:val="44"/>
      <w:szCs w:val="44"/>
    </w:rPr>
  </w:style>
  <w:style w:type="paragraph" w:styleId="2">
    <w:name w:val="heading 2"/>
    <w:basedOn w:val="1"/>
    <w:next w:val="1"/>
    <w:qFormat/>
    <w:uiPriority w:val="9"/>
    <w:pPr>
      <w:keepNext/>
      <w:keepLines/>
      <w:spacing w:before="260" w:beforeLines="0" w:after="260" w:afterLines="0" w:line="415" w:lineRule="auto"/>
      <w:outlineLvl w:val="1"/>
    </w:pPr>
    <w:rPr>
      <w:rFonts w:ascii="Arial" w:hAnsi="Arial" w:eastAsia="黑体"/>
      <w:b/>
      <w:bCs/>
      <w:sz w:val="32"/>
      <w:szCs w:val="32"/>
    </w:rPr>
  </w:style>
  <w:style w:type="paragraph" w:styleId="4">
    <w:name w:val="heading 3"/>
    <w:basedOn w:val="1"/>
    <w:next w:val="1"/>
    <w:qFormat/>
    <w:uiPriority w:val="9"/>
    <w:pPr>
      <w:keepNext/>
      <w:keepLines/>
      <w:spacing w:before="260" w:beforeLines="0" w:after="260" w:afterLines="0" w:line="415" w:lineRule="auto"/>
      <w:ind w:firstLine="137" w:firstLineChars="49"/>
      <w:outlineLvl w:val="2"/>
    </w:pPr>
    <w:rPr>
      <w:rFonts w:ascii="黑体" w:hAnsi="宋体" w:eastAsia="黑体"/>
      <w:bCs/>
      <w:sz w:val="28"/>
      <w:szCs w:val="28"/>
    </w:rPr>
  </w:style>
  <w:style w:type="character" w:default="1" w:styleId="10">
    <w:name w:val="Default Paragraph Font"/>
    <w:semiHidden/>
    <w:uiPriority w:val="0"/>
  </w:style>
  <w:style w:type="table" w:default="1" w:styleId="9">
    <w:name w:val="Normal Table"/>
    <w:semiHidden/>
    <w:uiPriority w:val="0"/>
    <w:tblPr>
      <w:tblCellMar>
        <w:top w:w="0" w:type="dxa"/>
        <w:left w:w="108" w:type="dxa"/>
        <w:bottom w:w="0" w:type="dxa"/>
        <w:right w:w="108" w:type="dxa"/>
      </w:tblCellMar>
    </w:tblPr>
  </w:style>
  <w:style w:type="paragraph" w:styleId="5">
    <w:name w:val="Body Text Indent"/>
    <w:basedOn w:val="1"/>
    <w:uiPriority w:val="99"/>
    <w:pPr>
      <w:spacing w:after="120" w:afterLines="0"/>
      <w:ind w:left="420" w:leftChars="200"/>
    </w:pPr>
  </w:style>
  <w:style w:type="paragraph" w:styleId="6">
    <w:name w:val="footer"/>
    <w:basedOn w:val="1"/>
    <w:uiPriority w:val="99"/>
    <w:pPr>
      <w:tabs>
        <w:tab w:val="center" w:pos="4153"/>
        <w:tab w:val="right" w:pos="8306"/>
      </w:tabs>
      <w:snapToGrid w:val="0"/>
      <w:jc w:val="left"/>
    </w:pPr>
    <w:rPr>
      <w:sz w:val="18"/>
      <w:szCs w:val="18"/>
    </w:rPr>
  </w:style>
  <w:style w:type="paragraph" w:styleId="7">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8">
    <w:name w:val="Body Text First Indent 2"/>
    <w:basedOn w:val="5"/>
    <w:uiPriority w:val="0"/>
    <w:pPr>
      <w:adjustRightInd w:val="0"/>
      <w:spacing w:line="360" w:lineRule="auto"/>
      <w:ind w:left="0" w:leftChars="0" w:firstLine="210"/>
      <w:textAlignment w:val="baseline"/>
    </w:pPr>
    <w:rPr>
      <w:sz w:val="24"/>
    </w:rPr>
  </w:style>
  <w:style w:type="paragraph" w:customStyle="1" w:styleId="11">
    <w:name w:val="1"/>
    <w:basedOn w:val="1"/>
    <w:next w:val="1"/>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2020-12-07T02:13:49Z</dcterms:created>
  <dc:creator>10938</dc:creator>
  <cp:lastModifiedBy>校对-朱浩天</cp:lastModifiedBy>
  <dcterms:modified xsi:type="dcterms:W3CDTF">2020-12-07T02:14:12Z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