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highlight w:val="none"/>
        </w:rPr>
        <w:t>《</w:t>
      </w:r>
      <w:r>
        <w:rPr>
          <w:rFonts w:hint="eastAsia" w:ascii="宋体" w:hAnsi="宋体" w:eastAsia="宋体" w:cs="宋体"/>
          <w:b/>
          <w:bCs/>
          <w:color w:val="auto"/>
          <w:sz w:val="28"/>
          <w:highlight w:val="none"/>
          <w:lang w:val="en-US" w:eastAsia="zh-CN"/>
        </w:rPr>
        <w:t>应急救援多功能专用车辆</w:t>
      </w:r>
      <w:r>
        <w:rPr>
          <w:rFonts w:hint="eastAsia" w:ascii="宋体" w:hAnsi="宋体" w:eastAsia="宋体" w:cs="宋体"/>
          <w:b/>
          <w:bCs/>
          <w:color w:val="auto"/>
          <w:sz w:val="28"/>
          <w:highlight w:val="none"/>
        </w:rPr>
        <w:t>设备选型、技术指标一览表》</w:t>
      </w:r>
    </w:p>
    <w:tbl>
      <w:tblPr>
        <w:tblStyle w:val="4"/>
        <w:tblpPr w:leftFromText="180" w:rightFromText="180" w:vertAnchor="text" w:horzAnchor="margin" w:tblpXSpec="center" w:tblpY="200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404"/>
        <w:gridCol w:w="4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Header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20"/>
                <w:szCs w:val="21"/>
                <w:highlight w:val="none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20"/>
                <w:szCs w:val="21"/>
                <w:highlight w:val="none"/>
              </w:rPr>
              <w:t>项目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color w:val="auto"/>
                <w:spacing w:val="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highlight w:val="none"/>
              </w:rPr>
              <w:t>买方技术参数要求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一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供货范围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主车、专用工具、相关配件、运输和保险及验收、相关技术服务、上牌、交相关税费、上保险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二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主要技术参数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底盘机构: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*底盘发动机功率（KW)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底盘发动机功率（KW):≥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，排放标准国五或更优。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*底盘型号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QL1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070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5F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AY（庆铃）或更优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*驱动形式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驱动形式为≥4×2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最高车速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（KM/h)≥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*轮胎规格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7.00R16 14PR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或更优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外廓尺寸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长×宽×高（mm）：≥50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0mm×2000mm×23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0mm或大于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*轴距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exact"/>
        </w:trPr>
        <w:tc>
          <w:tcPr>
            <w:tcW w:w="8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叉举系统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*上装形式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叉车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*最大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叉举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质量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2500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门架高度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2250mm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门架起升高度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货叉长度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拖牵系统：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最大拖牵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质量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最大拖举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质量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1290kg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全伸出最大拖举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质量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绞盘数量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绞盘额定牵引力（公斤力）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钢丝绳长度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≥25m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钢丝绳直径（MM)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instrText xml:space="preserve"> MERGEFIELD 钢丝绳直径（mm） </w:instrTex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φ12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钢丝绳最小线速度（m/min）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配件（每辆车）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1、叉座一对；2、托叉（大小）共两对；3、托车抱胎机构一对；4、链带总成共7套；5、星际LED红黄蓝灯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6、倒车后视屏；7、不锈钢洗涤水箱；8、B型辅助轮一对；9、限位器；10、双工具箱；11、三层滑轮座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随车工具1套：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高强度货叉加长套1对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815" w:rightChars="-388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其他要求（每辆车）</w:t>
            </w:r>
          </w:p>
        </w:tc>
        <w:tc>
          <w:tcPr>
            <w:tcW w:w="4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车身颜色为工程黄色，车身采用整体式、全钢、防锈、抗扭、加固车身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2个驾驶室（可双向驾驶），有封闭式作业操作室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；须安装晚间工作时的车后双向灯和车顶LED红黄蓝三色警报灯，警报器功率不低于120瓦；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配模块式工作舱，装发电机、3米照明灯；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驾驶室带空调、收音机、助力转向；倒车影像；上装采用电泳工艺；液压件选用知名品牌（详细说明产地及规格型号）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车辆配备GPS/北斗双模定位系统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安装标准车载视频平台，至少三个摄像头（车前、车尾、驾驶室），提供实时调用接口。座位：≥2；带助力转向装置、随车简易车辆维修工具、轮胎装卸工具、10吨千斤顶等。</w:t>
            </w:r>
          </w:p>
        </w:tc>
      </w:tr>
    </w:tbl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highlight w:val="none"/>
        </w:rPr>
        <w:sectPr>
          <w:footerReference r:id="rId4" w:type="first"/>
          <w:footerReference r:id="rId3" w:type="default"/>
          <w:pgSz w:w="11906" w:h="16838"/>
          <w:pgMar w:top="1440" w:right="1418" w:bottom="1440" w:left="1418" w:header="851" w:footer="992" w:gutter="0"/>
          <w:pgNumType w:fmt="decimal" w:start="2"/>
          <w:cols w:space="720" w:num="1"/>
          <w:titlePg/>
          <w:docGrid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highlight w:val="none"/>
        </w:rPr>
        <w:t>注：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1、发动机、底盘、轮胎为关键构件；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</w:rPr>
        <w:t>2、带*号的产品关键技术指标必须满足‘买方技术参数要求’”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且按招标文件要求提供相关证明材料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2020-12-07T02:14:46Z</dcterms:created>
  <dc:creator>10938</dc:creator>
  <cp:lastModifiedBy>校对-朱浩天</cp:lastModifiedBy>
  <dcterms:modified xsi:type="dcterms:W3CDTF">2020-12-07T02:14:53Z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