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ascii="黑体" w:eastAsia="黑体"/>
          <w:b/>
          <w:spacing w:val="-6"/>
          <w:sz w:val="44"/>
          <w:szCs w:val="44"/>
          <w:lang w:eastAsia="zh-CN"/>
        </w:rPr>
        <w:t>萧县</w:t>
      </w:r>
      <w:r>
        <w:rPr>
          <w:rFonts w:hint="eastAsia" w:ascii="黑体" w:eastAsia="黑体"/>
          <w:b/>
          <w:spacing w:val="-6"/>
          <w:sz w:val="44"/>
          <w:szCs w:val="44"/>
        </w:rPr>
        <w:t>管理处</w:t>
      </w:r>
      <w:r>
        <w:rPr>
          <w:rFonts w:hint="eastAsia" w:ascii="黑体" w:eastAsia="黑体"/>
          <w:b/>
          <w:spacing w:val="-6"/>
          <w:sz w:val="44"/>
          <w:szCs w:val="44"/>
          <w:lang w:eastAsia="zh-CN"/>
        </w:rPr>
        <w:t>皖鲁、砀山</w:t>
      </w:r>
      <w:r>
        <w:rPr>
          <w:rFonts w:hint="eastAsia" w:ascii="黑体" w:eastAsia="黑体"/>
          <w:b/>
          <w:spacing w:val="-6"/>
          <w:sz w:val="44"/>
          <w:szCs w:val="44"/>
        </w:rPr>
        <w:t>收费站收费大棚拆除工程</w:t>
      </w:r>
    </w:p>
    <w:p>
      <w:pPr>
        <w:rPr>
          <w:kern w:val="0"/>
          <w:sz w:val="44"/>
          <w:szCs w:val="44"/>
        </w:rPr>
      </w:pPr>
    </w:p>
    <w:p>
      <w:pPr>
        <w:snapToGrid w:val="0"/>
        <w:rPr>
          <w:b/>
          <w:bCs/>
          <w:spacing w:val="12"/>
          <w:kern w:val="0"/>
          <w:position w:val="-36"/>
          <w:sz w:val="44"/>
          <w:szCs w:val="44"/>
        </w:rPr>
      </w:pPr>
    </w:p>
    <w:p>
      <w:pPr>
        <w:snapToGrid w:val="0"/>
        <w:rPr>
          <w:b/>
          <w:bCs/>
          <w:spacing w:val="12"/>
          <w:kern w:val="0"/>
          <w:position w:val="-36"/>
          <w:sz w:val="44"/>
          <w:szCs w:val="44"/>
        </w:rPr>
      </w:pPr>
    </w:p>
    <w:p>
      <w:pPr>
        <w:snapToGrid w:val="0"/>
        <w:rPr>
          <w:b/>
          <w:bCs/>
          <w:spacing w:val="12"/>
          <w:kern w:val="0"/>
          <w:position w:val="-36"/>
          <w:sz w:val="44"/>
          <w:szCs w:val="44"/>
        </w:rPr>
      </w:pPr>
    </w:p>
    <w:p>
      <w:pPr>
        <w:snapToGrid w:val="0"/>
        <w:rPr>
          <w:b/>
          <w:bCs/>
          <w:spacing w:val="12"/>
          <w:kern w:val="0"/>
          <w:position w:val="-36"/>
          <w:sz w:val="44"/>
          <w:szCs w:val="44"/>
        </w:rPr>
      </w:pPr>
    </w:p>
    <w:p>
      <w:pPr>
        <w:snapToGrid w:val="0"/>
        <w:rPr>
          <w:b/>
          <w:bCs/>
          <w:spacing w:val="12"/>
          <w:kern w:val="0"/>
          <w:position w:val="-36"/>
          <w:sz w:val="44"/>
          <w:szCs w:val="44"/>
        </w:rPr>
      </w:pPr>
    </w:p>
    <w:p>
      <w:pPr>
        <w:snapToGrid w:val="0"/>
        <w:jc w:val="center"/>
        <w:rPr>
          <w:rFonts w:eastAsia="方正小标宋简体"/>
          <w:bCs/>
          <w:spacing w:val="12"/>
          <w:kern w:val="0"/>
          <w:position w:val="-36"/>
          <w:sz w:val="84"/>
          <w:szCs w:val="84"/>
        </w:rPr>
      </w:pPr>
      <w:r>
        <w:rPr>
          <w:rFonts w:hint="eastAsia" w:eastAsia="方正小标宋简体"/>
          <w:bCs/>
          <w:spacing w:val="12"/>
          <w:kern w:val="0"/>
          <w:position w:val="-36"/>
          <w:sz w:val="84"/>
          <w:szCs w:val="84"/>
        </w:rPr>
        <w:t>询 价</w:t>
      </w:r>
      <w:r>
        <w:rPr>
          <w:rFonts w:eastAsia="方正小标宋简体"/>
          <w:bCs/>
          <w:spacing w:val="12"/>
          <w:kern w:val="0"/>
          <w:position w:val="-36"/>
          <w:sz w:val="84"/>
          <w:szCs w:val="84"/>
        </w:rPr>
        <w:t xml:space="preserve"> </w:t>
      </w:r>
      <w:bookmarkStart w:id="241" w:name="_GoBack"/>
      <w:bookmarkEnd w:id="241"/>
      <w:r>
        <w:rPr>
          <w:rFonts w:eastAsia="方正小标宋简体"/>
          <w:bCs/>
          <w:spacing w:val="12"/>
          <w:kern w:val="0"/>
          <w:position w:val="-36"/>
          <w:sz w:val="84"/>
          <w:szCs w:val="84"/>
        </w:rPr>
        <w:t>文 件</w:t>
      </w:r>
    </w:p>
    <w:p>
      <w:pPr>
        <w:snapToGrid w:val="0"/>
        <w:rPr>
          <w:spacing w:val="12"/>
          <w:kern w:val="0"/>
          <w:position w:val="-36"/>
          <w:sz w:val="44"/>
          <w:szCs w:val="44"/>
        </w:rPr>
      </w:pPr>
    </w:p>
    <w:p>
      <w:pPr>
        <w:snapToGrid w:val="0"/>
        <w:rPr>
          <w:spacing w:val="12"/>
          <w:kern w:val="0"/>
          <w:position w:val="-36"/>
          <w:sz w:val="44"/>
          <w:szCs w:val="44"/>
        </w:rPr>
      </w:pPr>
    </w:p>
    <w:p>
      <w:pPr>
        <w:snapToGrid w:val="0"/>
        <w:rPr>
          <w:spacing w:val="12"/>
          <w:kern w:val="0"/>
          <w:position w:val="-36"/>
          <w:sz w:val="44"/>
          <w:szCs w:val="44"/>
        </w:rPr>
      </w:pPr>
    </w:p>
    <w:p>
      <w:pPr>
        <w:snapToGrid w:val="0"/>
        <w:rPr>
          <w:spacing w:val="12"/>
          <w:kern w:val="0"/>
          <w:position w:val="-36"/>
          <w:sz w:val="44"/>
          <w:szCs w:val="44"/>
        </w:rPr>
      </w:pPr>
    </w:p>
    <w:p>
      <w:pPr>
        <w:snapToGrid w:val="0"/>
        <w:rPr>
          <w:spacing w:val="12"/>
          <w:kern w:val="0"/>
          <w:position w:val="-36"/>
          <w:sz w:val="44"/>
          <w:szCs w:val="44"/>
        </w:rPr>
      </w:pPr>
    </w:p>
    <w:p>
      <w:pPr>
        <w:snapToGrid w:val="0"/>
        <w:rPr>
          <w:spacing w:val="12"/>
          <w:kern w:val="0"/>
          <w:position w:val="-36"/>
          <w:sz w:val="44"/>
          <w:szCs w:val="44"/>
        </w:rPr>
      </w:pPr>
    </w:p>
    <w:p>
      <w:pPr>
        <w:snapToGrid w:val="0"/>
        <w:rPr>
          <w:spacing w:val="12"/>
          <w:kern w:val="0"/>
          <w:position w:val="-36"/>
          <w:sz w:val="44"/>
          <w:szCs w:val="44"/>
        </w:rPr>
      </w:pPr>
    </w:p>
    <w:p>
      <w:pPr>
        <w:snapToGrid w:val="0"/>
        <w:rPr>
          <w:spacing w:val="12"/>
          <w:kern w:val="0"/>
          <w:position w:val="-36"/>
          <w:sz w:val="44"/>
          <w:szCs w:val="44"/>
        </w:rPr>
      </w:pPr>
    </w:p>
    <w:p>
      <w:pPr>
        <w:snapToGrid w:val="0"/>
        <w:rPr>
          <w:spacing w:val="12"/>
          <w:kern w:val="0"/>
          <w:position w:val="-36"/>
          <w:sz w:val="44"/>
          <w:szCs w:val="44"/>
        </w:rPr>
      </w:pPr>
    </w:p>
    <w:p>
      <w:pPr>
        <w:snapToGrid w:val="0"/>
        <w:rPr>
          <w:spacing w:val="12"/>
          <w:kern w:val="0"/>
          <w:position w:val="-36"/>
          <w:sz w:val="44"/>
          <w:szCs w:val="44"/>
        </w:rPr>
      </w:pPr>
    </w:p>
    <w:p>
      <w:pPr>
        <w:pStyle w:val="2"/>
      </w:pPr>
    </w:p>
    <w:p>
      <w:pPr>
        <w:pStyle w:val="2"/>
      </w:pPr>
    </w:p>
    <w:p>
      <w:pPr>
        <w:ind w:firstLine="1120" w:firstLineChars="350"/>
        <w:jc w:val="left"/>
        <w:rPr>
          <w:rFonts w:eastAsia="黑体"/>
          <w:sz w:val="32"/>
          <w:szCs w:val="32"/>
          <w:u w:val="single"/>
        </w:rPr>
      </w:pPr>
      <w:r>
        <w:rPr>
          <w:rFonts w:hint="eastAsia" w:eastAsia="黑体"/>
          <w:sz w:val="32"/>
          <w:szCs w:val="32"/>
        </w:rPr>
        <w:t>询价人：</w:t>
      </w:r>
      <w:r>
        <w:rPr>
          <w:rFonts w:eastAsia="黑体"/>
          <w:sz w:val="32"/>
          <w:szCs w:val="32"/>
          <w:u w:val="single"/>
        </w:rPr>
        <w:t xml:space="preserve"> </w:t>
      </w:r>
      <w:r>
        <w:rPr>
          <w:rFonts w:hint="eastAsia" w:eastAsia="黑体"/>
          <w:sz w:val="32"/>
          <w:szCs w:val="32"/>
          <w:u w:val="single"/>
        </w:rPr>
        <w:t>安徽省交通控股集团有限公司</w:t>
      </w:r>
      <w:r>
        <w:rPr>
          <w:rFonts w:hint="eastAsia" w:eastAsia="黑体"/>
          <w:sz w:val="32"/>
          <w:szCs w:val="32"/>
          <w:u w:val="single"/>
          <w:lang w:eastAsia="zh-CN"/>
        </w:rPr>
        <w:t>萧县</w:t>
      </w:r>
      <w:r>
        <w:rPr>
          <w:rFonts w:hint="eastAsia" w:eastAsia="黑体"/>
          <w:sz w:val="32"/>
          <w:szCs w:val="32"/>
          <w:u w:val="single"/>
        </w:rPr>
        <w:t>管理处</w:t>
      </w:r>
    </w:p>
    <w:p>
      <w:pPr>
        <w:ind w:firstLine="3920" w:firstLineChars="1400"/>
        <w:rPr>
          <w:rFonts w:eastAsia="黑体"/>
          <w:sz w:val="28"/>
          <w:szCs w:val="28"/>
        </w:rPr>
      </w:pPr>
      <w:r>
        <w:rPr>
          <w:rFonts w:eastAsia="黑体"/>
          <w:sz w:val="28"/>
          <w:szCs w:val="28"/>
        </w:rPr>
        <w:t xml:space="preserve"> </w:t>
      </w:r>
      <w:r>
        <w:rPr>
          <w:rFonts w:hint="eastAsia" w:eastAsia="黑体"/>
          <w:sz w:val="28"/>
          <w:szCs w:val="28"/>
        </w:rPr>
        <w:t xml:space="preserve">二〇一九 </w:t>
      </w:r>
      <w:r>
        <w:rPr>
          <w:rFonts w:eastAsia="黑体"/>
          <w:sz w:val="28"/>
          <w:szCs w:val="28"/>
        </w:rPr>
        <w:t xml:space="preserve">年 </w:t>
      </w:r>
      <w:r>
        <w:rPr>
          <w:rFonts w:hint="eastAsia" w:eastAsia="黑体"/>
          <w:sz w:val="28"/>
          <w:szCs w:val="28"/>
        </w:rPr>
        <w:t xml:space="preserve">八 </w:t>
      </w:r>
      <w:r>
        <w:rPr>
          <w:rFonts w:eastAsia="黑体"/>
          <w:sz w:val="28"/>
          <w:szCs w:val="28"/>
        </w:rPr>
        <w:t>月</w:t>
      </w:r>
    </w:p>
    <w:p>
      <w:pPr>
        <w:spacing w:line="360" w:lineRule="auto"/>
        <w:jc w:val="center"/>
        <w:rPr>
          <w:rFonts w:ascii="Tahoma" w:hAnsi="Tahoma" w:eastAsia="黑体"/>
          <w:b/>
          <w:spacing w:val="40"/>
          <w:sz w:val="36"/>
        </w:rPr>
        <w:sectPr>
          <w:headerReference r:id="rId5" w:type="first"/>
          <w:footerReference r:id="rId7" w:type="first"/>
          <w:footerReference r:id="rId6" w:type="even"/>
          <w:type w:val="continuous"/>
          <w:pgSz w:w="11906" w:h="16838"/>
          <w:pgMar w:top="1814" w:right="1021" w:bottom="1134" w:left="1361" w:header="851" w:footer="992" w:gutter="0"/>
          <w:pgNumType w:fmt="numberInDash"/>
          <w:cols w:space="720" w:num="1"/>
          <w:docGrid w:type="lines" w:linePitch="312" w:charSpace="0"/>
        </w:sectPr>
      </w:pPr>
    </w:p>
    <w:p>
      <w:pPr>
        <w:pStyle w:val="2"/>
        <w:sectPr>
          <w:footerReference r:id="rId8" w:type="default"/>
          <w:pgSz w:w="11906" w:h="16838"/>
          <w:pgMar w:top="1814" w:right="1021" w:bottom="1134" w:left="1361" w:header="851" w:footer="992" w:gutter="0"/>
          <w:pgNumType w:fmt="numberInDash" w:start="1"/>
          <w:cols w:space="720" w:num="1"/>
          <w:docGrid w:type="lines" w:linePitch="312" w:charSpace="0"/>
        </w:sectPr>
      </w:pPr>
    </w:p>
    <w:p>
      <w:pPr>
        <w:spacing w:after="240" w:line="500" w:lineRule="exact"/>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说  明</w:t>
      </w:r>
    </w:p>
    <w:p>
      <w:pPr>
        <w:widowControl/>
        <w:spacing w:line="360" w:lineRule="auto"/>
        <w:ind w:firstLine="420" w:firstLineChars="200"/>
        <w:jc w:val="left"/>
        <w:rPr>
          <w:rFonts w:ascii="宋体" w:hAnsi="宋体" w:cs="宋体"/>
          <w:szCs w:val="21"/>
        </w:rPr>
      </w:pPr>
      <w:r>
        <w:rPr>
          <w:rFonts w:hint="eastAsia" w:ascii="宋体" w:hAnsi="宋体" w:cs="宋体"/>
          <w:szCs w:val="21"/>
        </w:rPr>
        <w:t>一、本询价文件是根据《中华人民共和国标准施工招标文件》（2007年版）、交通运输部颁发的《公路工程标准施工招标文件》（2018年版）并结合本项目特点编制而成。</w:t>
      </w:r>
    </w:p>
    <w:p>
      <w:pPr>
        <w:spacing w:line="360" w:lineRule="auto"/>
        <w:ind w:firstLine="482"/>
        <w:rPr>
          <w:rFonts w:ascii="宋体" w:hAnsi="宋体" w:cs="宋体"/>
          <w:kern w:val="0"/>
          <w:szCs w:val="21"/>
        </w:rPr>
      </w:pPr>
      <w:r>
        <w:rPr>
          <w:rFonts w:hint="eastAsia" w:ascii="宋体" w:hAnsi="宋体" w:cs="宋体"/>
          <w:szCs w:val="21"/>
        </w:rPr>
        <w:t>二、</w:t>
      </w:r>
      <w:r>
        <w:rPr>
          <w:rFonts w:hint="eastAsia" w:ascii="宋体" w:hAnsi="宋体" w:cs="宋体"/>
          <w:kern w:val="0"/>
          <w:szCs w:val="21"/>
        </w:rPr>
        <w:t>本询价文件是由《</w:t>
      </w:r>
      <w:r>
        <w:rPr>
          <w:rFonts w:hint="eastAsia" w:ascii="宋体" w:hAnsi="宋体" w:cs="宋体"/>
          <w:szCs w:val="21"/>
        </w:rPr>
        <w:t>中华人民共和国标准施工招标文件</w:t>
      </w:r>
      <w:r>
        <w:rPr>
          <w:rFonts w:hint="eastAsia" w:ascii="宋体" w:hAnsi="宋体" w:cs="宋体"/>
          <w:kern w:val="0"/>
          <w:szCs w:val="21"/>
        </w:rPr>
        <w:t>》（2007年版）交通运输部颁发的</w:t>
      </w:r>
      <w:r>
        <w:rPr>
          <w:rFonts w:hint="eastAsia" w:ascii="宋体" w:hAnsi="宋体" w:cs="宋体"/>
          <w:szCs w:val="21"/>
        </w:rPr>
        <w:t>《公路工程标准施工招标文件》（2018年版</w:t>
      </w:r>
      <w:r>
        <w:rPr>
          <w:rFonts w:hint="eastAsia" w:ascii="宋体" w:hAnsi="宋体" w:cs="宋体"/>
          <w:kern w:val="0"/>
          <w:szCs w:val="21"/>
        </w:rPr>
        <w:t>）以及本项目询价专用文件共同组成。</w:t>
      </w:r>
      <w:r>
        <w:rPr>
          <w:rFonts w:hint="eastAsia" w:ascii="宋体" w:hAnsi="宋体" w:cs="宋体"/>
          <w:szCs w:val="21"/>
        </w:rPr>
        <w:t>项目专用本是对范本的补充、完善和修改，报价人应将项目专用本和范本结合起来阅读，凡范本与项目专用本不一致处以项目专用本为准，但范本中的所有注解均以项目专用本内容为准。</w:t>
      </w:r>
    </w:p>
    <w:p>
      <w:pPr>
        <w:spacing w:line="360" w:lineRule="auto"/>
        <w:ind w:firstLine="482"/>
        <w:rPr>
          <w:rFonts w:ascii="宋体" w:hAnsi="宋体" w:cs="宋体"/>
          <w:szCs w:val="21"/>
        </w:rPr>
      </w:pPr>
      <w:r>
        <w:rPr>
          <w:rFonts w:hint="eastAsia" w:ascii="宋体" w:hAnsi="宋体" w:cs="宋体"/>
          <w:szCs w:val="21"/>
        </w:rPr>
        <w:t>三、询价人对询价文件进行的澄清、修改等将以补遗书（答疑变更公告）的形式在安徽省交通控股集团有限公司网站进行信息发布，询价人不再以其他方式通知，报价人应主动上网查询，询价人不承担报价人未及时关注上述信息引发的任何责任。</w:t>
      </w:r>
    </w:p>
    <w:p>
      <w:pPr>
        <w:pStyle w:val="2"/>
        <w:spacing w:line="360" w:lineRule="auto"/>
        <w:ind w:firstLine="420" w:firstLineChars="200"/>
        <w:rPr>
          <w:rFonts w:ascii="宋体" w:hAnsi="宋体" w:cs="宋体"/>
          <w:szCs w:val="21"/>
        </w:rPr>
      </w:pPr>
      <w:r>
        <w:rPr>
          <w:rFonts w:hint="eastAsia"/>
        </w:rPr>
        <w:t xml:space="preserve"> 四、本询价文件凡涉及国家法规、技术标准及规范、安徽省相关规定等内容，均以最新文件为准。</w:t>
      </w:r>
    </w:p>
    <w:p>
      <w:pPr>
        <w:spacing w:line="360" w:lineRule="auto"/>
        <w:ind w:firstLine="482"/>
        <w:rPr>
          <w:rFonts w:ascii="宋体" w:hAnsi="宋体" w:cs="宋体"/>
          <w:szCs w:val="21"/>
        </w:rPr>
      </w:pPr>
      <w:r>
        <w:rPr>
          <w:rFonts w:hint="eastAsia" w:ascii="宋体" w:hAnsi="宋体" w:cs="宋体"/>
          <w:szCs w:val="21"/>
        </w:rPr>
        <w:t>五、报价人向询价人提出的澄清或疑问应通过询价人的通讯联系方式书面提交。</w:t>
      </w:r>
    </w:p>
    <w:p>
      <w:pPr>
        <w:spacing w:line="360" w:lineRule="auto"/>
        <w:ind w:firstLine="482"/>
        <w:rPr>
          <w:rFonts w:ascii="宋体" w:hAnsi="宋体" w:cs="宋体"/>
          <w:szCs w:val="21"/>
        </w:rPr>
      </w:pPr>
      <w:r>
        <w:rPr>
          <w:rFonts w:hint="eastAsia" w:ascii="宋体" w:hAnsi="宋体" w:cs="宋体"/>
          <w:szCs w:val="21"/>
        </w:rPr>
        <w:t>六、为节约成本，响应文件建议采用双面打（复）印。</w:t>
      </w:r>
    </w:p>
    <w:p>
      <w:pPr>
        <w:spacing w:line="360" w:lineRule="auto"/>
        <w:ind w:firstLine="482"/>
        <w:rPr>
          <w:rFonts w:ascii="宋体" w:hAnsi="宋体" w:cs="宋体"/>
          <w:szCs w:val="21"/>
        </w:rPr>
      </w:pPr>
      <w:r>
        <w:rPr>
          <w:rFonts w:hint="eastAsia" w:ascii="宋体" w:hAnsi="宋体" w:cs="宋体"/>
          <w:szCs w:val="21"/>
        </w:rPr>
        <w:t>七、报价人自购买询价文件之日起，应保证其向询价人提供的通讯方式（电话、传真）一直有效，保持畅通，否则，由此引起的一切后果由报价人负责。</w:t>
      </w:r>
    </w:p>
    <w:p>
      <w:pPr>
        <w:spacing w:line="360" w:lineRule="auto"/>
        <w:ind w:firstLine="482"/>
        <w:rPr>
          <w:rFonts w:ascii="宋体" w:hAnsi="宋体" w:cs="宋体"/>
          <w:szCs w:val="21"/>
        </w:rPr>
      </w:pPr>
      <w:r>
        <w:rPr>
          <w:rFonts w:hint="eastAsia" w:ascii="宋体" w:hAnsi="宋体" w:cs="宋体"/>
          <w:szCs w:val="21"/>
        </w:rPr>
        <w:t>八、询价人对询价文件内容有最终解释权。</w:t>
      </w:r>
    </w:p>
    <w:p>
      <w:pPr>
        <w:spacing w:after="240" w:line="500" w:lineRule="exact"/>
        <w:jc w:val="center"/>
        <w:rPr>
          <w:rFonts w:eastAsia="黑体"/>
          <w:spacing w:val="20"/>
          <w:sz w:val="44"/>
        </w:rPr>
        <w:sectPr>
          <w:headerReference r:id="rId9" w:type="default"/>
          <w:footerReference r:id="rId10" w:type="default"/>
          <w:footnotePr>
            <w:numFmt w:val="decimalEnclosedCircleChinese"/>
            <w:numRestart w:val="eachPage"/>
          </w:footnotePr>
          <w:type w:val="continuous"/>
          <w:pgSz w:w="11906" w:h="16838"/>
          <w:pgMar w:top="1417" w:right="1417" w:bottom="1417" w:left="1417" w:header="851" w:footer="850" w:gutter="0"/>
          <w:pgNumType w:fmt="numberInDash"/>
          <w:cols w:space="720" w:num="1"/>
          <w:docGrid w:linePitch="312" w:charSpace="0"/>
        </w:sectPr>
      </w:pPr>
    </w:p>
    <w:p>
      <w:pPr>
        <w:pStyle w:val="2"/>
      </w:pPr>
    </w:p>
    <w:sdt>
      <w:sdtPr>
        <w:rPr>
          <w:rFonts w:ascii="宋体" w:hAnsi="宋体" w:eastAsia="宋体" w:cs="Times New Roman"/>
          <w:kern w:val="2"/>
          <w:sz w:val="21"/>
          <w:szCs w:val="24"/>
          <w:lang w:val="en-US" w:eastAsia="zh-CN" w:bidi="ar-SA"/>
        </w:rPr>
        <w:id w:val="147454745"/>
        <w15:color w:val="DBDBDB"/>
        <w:docPartObj>
          <w:docPartGallery w:val="Table of Contents"/>
          <w:docPartUnique/>
        </w:docPartObj>
      </w:sdtPr>
      <w:sdtEndPr>
        <w:rPr>
          <w:rFonts w:hint="eastAsia" w:ascii="仿宋_GB2312" w:hAnsi="仿宋_GB2312" w:eastAsia="仿宋_GB2312" w:cs="仿宋_GB2312"/>
          <w:b w:val="0"/>
          <w:bCs w:val="0"/>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val="0"/>
              <w:bCs w:val="0"/>
              <w:sz w:val="44"/>
              <w:szCs w:val="44"/>
            </w:rPr>
          </w:pPr>
          <w:bookmarkStart w:id="0" w:name="_Toc26772_WPSOffice_Type1"/>
          <w:r>
            <w:rPr>
              <w:rFonts w:hint="eastAsia" w:ascii="黑体" w:hAnsi="黑体" w:eastAsia="黑体" w:cs="黑体"/>
              <w:b w:val="0"/>
              <w:bCs w:val="0"/>
              <w:sz w:val="44"/>
              <w:szCs w:val="44"/>
            </w:rPr>
            <w:t>目</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rPr>
            <w:t>录</w:t>
          </w:r>
        </w:p>
        <w:p>
          <w:pPr>
            <w:pStyle w:val="2"/>
            <w:rPr>
              <w:rFonts w:hint="eastAsia"/>
            </w:rPr>
          </w:pPr>
        </w:p>
        <w:p>
          <w:pPr>
            <w:pStyle w:val="278"/>
            <w:tabs>
              <w:tab w:val="right" w:leader="dot" w:pos="9072"/>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_Toc29059_WPSOffice_Level1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54745"/>
              <w:placeholder>
                <w:docPart w:val="{87f5734c-4206-4d08-86ef-66699e545c47}"/>
              </w:placeholder>
              <w15:color w:val="509DF3"/>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第一章 询价公告</w:t>
              </w:r>
            </w:sdtContent>
          </w:sdt>
          <w:r>
            <w:rPr>
              <w:rFonts w:hint="eastAsia" w:ascii="仿宋_GB2312" w:hAnsi="仿宋_GB2312" w:eastAsia="仿宋_GB2312" w:cs="仿宋_GB2312"/>
              <w:b w:val="0"/>
              <w:bCs w:val="0"/>
              <w:sz w:val="32"/>
              <w:szCs w:val="32"/>
            </w:rPr>
            <w:tab/>
          </w:r>
          <w:bookmarkStart w:id="1" w:name="_Toc29059_WPSOffice_Level1Page"/>
          <w:r>
            <w:rPr>
              <w:rFonts w:hint="eastAsia" w:ascii="仿宋_GB2312" w:hAnsi="仿宋_GB2312" w:eastAsia="仿宋_GB2312" w:cs="仿宋_GB2312"/>
              <w:b w:val="0"/>
              <w:bCs w:val="0"/>
              <w:sz w:val="32"/>
              <w:szCs w:val="32"/>
            </w:rPr>
            <w:t>1</w:t>
          </w:r>
          <w:bookmarkEnd w:id="1"/>
          <w:r>
            <w:rPr>
              <w:rFonts w:hint="eastAsia" w:ascii="仿宋_GB2312" w:hAnsi="仿宋_GB2312" w:eastAsia="仿宋_GB2312" w:cs="仿宋_GB2312"/>
              <w:b w:val="0"/>
              <w:bCs w:val="0"/>
              <w:sz w:val="32"/>
              <w:szCs w:val="32"/>
            </w:rPr>
            <w:fldChar w:fldCharType="end"/>
          </w:r>
        </w:p>
        <w:p>
          <w:pPr>
            <w:pStyle w:val="278"/>
            <w:tabs>
              <w:tab w:val="right" w:leader="dot" w:pos="9072"/>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_Toc26772_WPSOffice_Level1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54745"/>
              <w:placeholder>
                <w:docPart w:val="{9943ec89-df66-47a1-93c6-3c2bdc0f94be}"/>
              </w:placeholder>
              <w15:color w:val="509DF3"/>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第二章 报价人须知</w:t>
              </w:r>
            </w:sdtContent>
          </w:sdt>
          <w:r>
            <w:rPr>
              <w:rFonts w:hint="eastAsia" w:ascii="仿宋_GB2312" w:hAnsi="仿宋_GB2312" w:eastAsia="仿宋_GB2312" w:cs="仿宋_GB2312"/>
              <w:b w:val="0"/>
              <w:bCs w:val="0"/>
              <w:sz w:val="32"/>
              <w:szCs w:val="32"/>
            </w:rPr>
            <w:tab/>
          </w:r>
          <w:bookmarkStart w:id="2" w:name="_Toc26772_WPSOffice_Level1Page"/>
          <w:r>
            <w:rPr>
              <w:rFonts w:hint="eastAsia" w:ascii="仿宋_GB2312" w:hAnsi="仿宋_GB2312" w:eastAsia="仿宋_GB2312" w:cs="仿宋_GB2312"/>
              <w:b w:val="0"/>
              <w:bCs w:val="0"/>
              <w:sz w:val="32"/>
              <w:szCs w:val="32"/>
            </w:rPr>
            <w:t>4</w:t>
          </w:r>
          <w:bookmarkEnd w:id="2"/>
          <w:r>
            <w:rPr>
              <w:rFonts w:hint="eastAsia" w:ascii="仿宋_GB2312" w:hAnsi="仿宋_GB2312" w:eastAsia="仿宋_GB2312" w:cs="仿宋_GB2312"/>
              <w:b w:val="0"/>
              <w:bCs w:val="0"/>
              <w:sz w:val="32"/>
              <w:szCs w:val="32"/>
            </w:rPr>
            <w:fldChar w:fldCharType="end"/>
          </w:r>
        </w:p>
        <w:p>
          <w:pPr>
            <w:pStyle w:val="278"/>
            <w:tabs>
              <w:tab w:val="right" w:leader="dot" w:pos="9072"/>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_Toc31271_WPSOffice_Level1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54745"/>
              <w:placeholder>
                <w:docPart w:val="{d4207f84-6acc-4a28-bbbb-2f2109b1cd38}"/>
              </w:placeholder>
              <w15:color w:val="509DF3"/>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第三章 评审办法</w:t>
              </w:r>
            </w:sdtContent>
          </w:sdt>
          <w:r>
            <w:rPr>
              <w:rFonts w:hint="eastAsia" w:ascii="仿宋_GB2312" w:hAnsi="仿宋_GB2312" w:eastAsia="仿宋_GB2312" w:cs="仿宋_GB2312"/>
              <w:b w:val="0"/>
              <w:bCs w:val="0"/>
              <w:sz w:val="32"/>
              <w:szCs w:val="32"/>
            </w:rPr>
            <w:tab/>
          </w:r>
          <w:bookmarkStart w:id="3" w:name="_Toc31271_WPSOffice_Level1Page"/>
          <w:r>
            <w:rPr>
              <w:rFonts w:hint="eastAsia" w:ascii="仿宋_GB2312" w:hAnsi="仿宋_GB2312" w:eastAsia="仿宋_GB2312" w:cs="仿宋_GB2312"/>
              <w:b w:val="0"/>
              <w:bCs w:val="0"/>
              <w:sz w:val="32"/>
              <w:szCs w:val="32"/>
            </w:rPr>
            <w:t>16</w:t>
          </w:r>
          <w:bookmarkEnd w:id="3"/>
          <w:r>
            <w:rPr>
              <w:rFonts w:hint="eastAsia" w:ascii="仿宋_GB2312" w:hAnsi="仿宋_GB2312" w:eastAsia="仿宋_GB2312" w:cs="仿宋_GB2312"/>
              <w:b w:val="0"/>
              <w:bCs w:val="0"/>
              <w:sz w:val="32"/>
              <w:szCs w:val="32"/>
            </w:rPr>
            <w:fldChar w:fldCharType="end"/>
          </w:r>
        </w:p>
        <w:p>
          <w:pPr>
            <w:pStyle w:val="278"/>
            <w:tabs>
              <w:tab w:val="right" w:leader="dot" w:pos="9072"/>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_Toc27398_WPSOffice_Level1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54745"/>
              <w:placeholder>
                <w:docPart w:val="{13f9f5a7-f9d9-4540-9a41-0aa74fdbcfdc}"/>
              </w:placeholder>
              <w15:color w:val="509DF3"/>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第四章 合同条款及格式</w:t>
              </w:r>
            </w:sdtContent>
          </w:sdt>
          <w:r>
            <w:rPr>
              <w:rFonts w:hint="eastAsia" w:ascii="仿宋_GB2312" w:hAnsi="仿宋_GB2312" w:eastAsia="仿宋_GB2312" w:cs="仿宋_GB2312"/>
              <w:b w:val="0"/>
              <w:bCs w:val="0"/>
              <w:sz w:val="32"/>
              <w:szCs w:val="32"/>
            </w:rPr>
            <w:tab/>
          </w:r>
          <w:bookmarkStart w:id="4" w:name="_Toc27398_WPSOffice_Level1Page"/>
          <w:r>
            <w:rPr>
              <w:rFonts w:hint="eastAsia" w:ascii="仿宋_GB2312" w:hAnsi="仿宋_GB2312" w:eastAsia="仿宋_GB2312" w:cs="仿宋_GB2312"/>
              <w:b w:val="0"/>
              <w:bCs w:val="0"/>
              <w:sz w:val="32"/>
              <w:szCs w:val="32"/>
            </w:rPr>
            <w:t>22</w:t>
          </w:r>
          <w:bookmarkEnd w:id="4"/>
          <w:r>
            <w:rPr>
              <w:rFonts w:hint="eastAsia" w:ascii="仿宋_GB2312" w:hAnsi="仿宋_GB2312" w:eastAsia="仿宋_GB2312" w:cs="仿宋_GB2312"/>
              <w:b w:val="0"/>
              <w:bCs w:val="0"/>
              <w:sz w:val="32"/>
              <w:szCs w:val="32"/>
            </w:rPr>
            <w:fldChar w:fldCharType="end"/>
          </w:r>
        </w:p>
        <w:p>
          <w:pPr>
            <w:pStyle w:val="278"/>
            <w:tabs>
              <w:tab w:val="right" w:leader="dot" w:pos="9072"/>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_Toc14672_WPSOffice_Level1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54745"/>
              <w:placeholder>
                <w:docPart w:val="{021d2823-2e2a-4c68-a753-b3a529a95ef4}"/>
              </w:placeholder>
              <w15:color w:val="509DF3"/>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第五章 工程量清单</w:t>
              </w:r>
            </w:sdtContent>
          </w:sdt>
          <w:r>
            <w:rPr>
              <w:rFonts w:hint="eastAsia" w:ascii="仿宋_GB2312" w:hAnsi="仿宋_GB2312" w:eastAsia="仿宋_GB2312" w:cs="仿宋_GB2312"/>
              <w:b w:val="0"/>
              <w:bCs w:val="0"/>
              <w:sz w:val="32"/>
              <w:szCs w:val="32"/>
            </w:rPr>
            <w:tab/>
          </w:r>
          <w:bookmarkStart w:id="5" w:name="_Toc14672_WPSOffice_Level1Page"/>
          <w:r>
            <w:rPr>
              <w:rFonts w:hint="eastAsia" w:ascii="仿宋_GB2312" w:hAnsi="仿宋_GB2312" w:eastAsia="仿宋_GB2312" w:cs="仿宋_GB2312"/>
              <w:b w:val="0"/>
              <w:bCs w:val="0"/>
              <w:sz w:val="32"/>
              <w:szCs w:val="32"/>
            </w:rPr>
            <w:t>40</w:t>
          </w:r>
          <w:bookmarkEnd w:id="5"/>
          <w:r>
            <w:rPr>
              <w:rFonts w:hint="eastAsia" w:ascii="仿宋_GB2312" w:hAnsi="仿宋_GB2312" w:eastAsia="仿宋_GB2312" w:cs="仿宋_GB2312"/>
              <w:b w:val="0"/>
              <w:bCs w:val="0"/>
              <w:sz w:val="32"/>
              <w:szCs w:val="32"/>
            </w:rPr>
            <w:fldChar w:fldCharType="end"/>
          </w:r>
        </w:p>
        <w:p>
          <w:pPr>
            <w:pStyle w:val="278"/>
            <w:tabs>
              <w:tab w:val="right" w:leader="dot" w:pos="9072"/>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_Toc30384_WPSOffice_Level1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54745"/>
              <w:placeholder>
                <w:docPart w:val="{9f3ed8d7-9be3-4035-bdf8-82b23f316ed6}"/>
              </w:placeholder>
              <w15:color w:val="509DF3"/>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第六章 技术规范</w:t>
              </w:r>
            </w:sdtContent>
          </w:sdt>
          <w:r>
            <w:rPr>
              <w:rFonts w:hint="eastAsia" w:ascii="仿宋_GB2312" w:hAnsi="仿宋_GB2312" w:eastAsia="仿宋_GB2312" w:cs="仿宋_GB2312"/>
              <w:b w:val="0"/>
              <w:bCs w:val="0"/>
              <w:sz w:val="32"/>
              <w:szCs w:val="32"/>
            </w:rPr>
            <w:tab/>
          </w:r>
          <w:bookmarkStart w:id="6" w:name="_Toc30384_WPSOffice_Level1Page"/>
          <w:r>
            <w:rPr>
              <w:rFonts w:hint="eastAsia" w:ascii="仿宋_GB2312" w:hAnsi="仿宋_GB2312" w:eastAsia="仿宋_GB2312" w:cs="仿宋_GB2312"/>
              <w:b w:val="0"/>
              <w:bCs w:val="0"/>
              <w:sz w:val="32"/>
              <w:szCs w:val="32"/>
            </w:rPr>
            <w:t>41</w:t>
          </w:r>
          <w:bookmarkEnd w:id="6"/>
          <w:r>
            <w:rPr>
              <w:rFonts w:hint="eastAsia" w:ascii="仿宋_GB2312" w:hAnsi="仿宋_GB2312" w:eastAsia="仿宋_GB2312" w:cs="仿宋_GB2312"/>
              <w:b w:val="0"/>
              <w:bCs w:val="0"/>
              <w:sz w:val="32"/>
              <w:szCs w:val="32"/>
            </w:rPr>
            <w:fldChar w:fldCharType="end"/>
          </w:r>
        </w:p>
        <w:p>
          <w:pPr>
            <w:pStyle w:val="278"/>
            <w:tabs>
              <w:tab w:val="right" w:leader="dot" w:pos="9072"/>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_Toc25862_WPSOffice_Level1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54745"/>
              <w:placeholder>
                <w:docPart w:val="{bda358c2-55c5-45a5-9e43-ae9a7605dcea}"/>
              </w:placeholder>
              <w15:color w:val="509DF3"/>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第七章 施工图纸（另成册）</w:t>
              </w:r>
            </w:sdtContent>
          </w:sdt>
          <w:r>
            <w:rPr>
              <w:rFonts w:hint="eastAsia" w:ascii="仿宋_GB2312" w:hAnsi="仿宋_GB2312" w:eastAsia="仿宋_GB2312" w:cs="仿宋_GB2312"/>
              <w:b w:val="0"/>
              <w:bCs w:val="0"/>
              <w:sz w:val="32"/>
              <w:szCs w:val="32"/>
            </w:rPr>
            <w:tab/>
          </w:r>
          <w:bookmarkStart w:id="7" w:name="_Toc25862_WPSOffice_Level1Page"/>
          <w:r>
            <w:rPr>
              <w:rFonts w:hint="eastAsia" w:ascii="仿宋_GB2312" w:hAnsi="仿宋_GB2312" w:eastAsia="仿宋_GB2312" w:cs="仿宋_GB2312"/>
              <w:b w:val="0"/>
              <w:bCs w:val="0"/>
              <w:sz w:val="32"/>
              <w:szCs w:val="32"/>
            </w:rPr>
            <w:t>42</w:t>
          </w:r>
          <w:bookmarkEnd w:id="7"/>
          <w:r>
            <w:rPr>
              <w:rFonts w:hint="eastAsia" w:ascii="仿宋_GB2312" w:hAnsi="仿宋_GB2312" w:eastAsia="仿宋_GB2312" w:cs="仿宋_GB2312"/>
              <w:b w:val="0"/>
              <w:bCs w:val="0"/>
              <w:sz w:val="32"/>
              <w:szCs w:val="32"/>
            </w:rPr>
            <w:fldChar w:fldCharType="end"/>
          </w:r>
        </w:p>
        <w:p>
          <w:pPr>
            <w:pStyle w:val="278"/>
            <w:tabs>
              <w:tab w:val="right" w:leader="dot" w:pos="9072"/>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_Toc2323_WPSOffice_Level1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147454745"/>
              <w:placeholder>
                <w:docPart w:val="{ac0fabe4-3f90-453f-9e16-45a0cab19664}"/>
              </w:placeholder>
              <w15:color w:val="509DF3"/>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第八章 报价文件格式</w:t>
              </w:r>
            </w:sdtContent>
          </w:sdt>
          <w:r>
            <w:rPr>
              <w:rFonts w:hint="eastAsia" w:ascii="仿宋_GB2312" w:hAnsi="仿宋_GB2312" w:eastAsia="仿宋_GB2312" w:cs="仿宋_GB2312"/>
              <w:b w:val="0"/>
              <w:bCs w:val="0"/>
              <w:sz w:val="32"/>
              <w:szCs w:val="32"/>
            </w:rPr>
            <w:tab/>
          </w:r>
          <w:bookmarkStart w:id="8" w:name="_Toc2323_WPSOffice_Level1Page"/>
          <w:r>
            <w:rPr>
              <w:rFonts w:hint="eastAsia" w:ascii="仿宋_GB2312" w:hAnsi="仿宋_GB2312" w:eastAsia="仿宋_GB2312" w:cs="仿宋_GB2312"/>
              <w:b w:val="0"/>
              <w:bCs w:val="0"/>
              <w:sz w:val="32"/>
              <w:szCs w:val="32"/>
            </w:rPr>
            <w:t>43</w:t>
          </w:r>
          <w:bookmarkEnd w:id="8"/>
          <w:r>
            <w:rPr>
              <w:rFonts w:hint="eastAsia" w:ascii="仿宋_GB2312" w:hAnsi="仿宋_GB2312" w:eastAsia="仿宋_GB2312" w:cs="仿宋_GB2312"/>
              <w:b w:val="0"/>
              <w:bCs w:val="0"/>
              <w:sz w:val="32"/>
              <w:szCs w:val="32"/>
            </w:rPr>
            <w:fldChar w:fldCharType="end"/>
          </w:r>
        </w:p>
        <w:bookmarkEnd w:id="0"/>
        <w:p>
          <w:pPr>
            <w:pStyle w:val="278"/>
            <w:tabs>
              <w:tab w:val="right" w:leader="dot" w:pos="9072"/>
            </w:tabs>
            <w:rPr>
              <w:rFonts w:hint="eastAsia" w:ascii="仿宋_GB2312" w:hAnsi="仿宋_GB2312" w:eastAsia="仿宋_GB2312" w:cs="仿宋_GB2312"/>
              <w:b w:val="0"/>
              <w:bCs w:val="0"/>
              <w:sz w:val="32"/>
              <w:szCs w:val="32"/>
            </w:rPr>
          </w:pPr>
        </w:p>
      </w:sdtContent>
    </w:sdt>
    <w:p>
      <w:pPr>
        <w:spacing w:before="0" w:beforeLines="0" w:after="0" w:afterLines="0" w:line="240" w:lineRule="auto"/>
        <w:ind w:left="0" w:leftChars="0" w:right="0" w:rightChars="0" w:firstLine="0" w:firstLineChars="0"/>
        <w:jc w:val="center"/>
        <w:rPr>
          <w:rFonts w:hint="eastAsia" w:ascii="黑体" w:hAnsi="黑体" w:eastAsia="黑体" w:cs="黑体"/>
          <w:b w:val="0"/>
          <w:bCs w:val="0"/>
          <w:sz w:val="32"/>
          <w:szCs w:val="32"/>
        </w:rPr>
      </w:pPr>
    </w:p>
    <w:p>
      <w:pPr>
        <w:jc w:val="center"/>
        <w:rPr>
          <w:rFonts w:ascii="宋体" w:hAnsi="宋体"/>
        </w:rPr>
      </w:pPr>
    </w:p>
    <w:p>
      <w:pPr>
        <w:spacing w:line="360" w:lineRule="auto"/>
        <w:rPr>
          <w:rFonts w:ascii="黑体" w:hAnsi="黑体" w:eastAsia="黑体" w:cs="黑体"/>
          <w:bCs/>
          <w:caps/>
          <w:sz w:val="28"/>
          <w:szCs w:val="28"/>
        </w:rPr>
        <w:sectPr>
          <w:footerReference r:id="rId11" w:type="default"/>
          <w:footnotePr>
            <w:numFmt w:val="decimalEnclosedCircleChinese"/>
            <w:numRestart w:val="eachPage"/>
          </w:footnotePr>
          <w:pgSz w:w="11906" w:h="16838"/>
          <w:pgMar w:top="1417" w:right="1417" w:bottom="1417" w:left="1417" w:header="851" w:footer="850" w:gutter="0"/>
          <w:pgNumType w:fmt="numberInDash"/>
          <w:cols w:space="720" w:num="1"/>
          <w:docGrid w:linePitch="312" w:charSpace="0"/>
        </w:sectPr>
      </w:pPr>
      <w:bookmarkStart w:id="9" w:name="_Toc330498156"/>
      <w:bookmarkStart w:id="10" w:name="_Toc6414291"/>
    </w:p>
    <w:p>
      <w:pPr>
        <w:pStyle w:val="2"/>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3"/>
        <w:rPr>
          <w:rFonts w:ascii="方正小标宋简体" w:hAnsi="黑体" w:eastAsia="方正小标宋简体" w:cs="黑体"/>
          <w:b w:val="0"/>
          <w:sz w:val="36"/>
          <w:szCs w:val="36"/>
        </w:rPr>
      </w:pPr>
    </w:p>
    <w:p>
      <w:pPr>
        <w:pStyle w:val="3"/>
        <w:ind w:firstLine="2880" w:firstLineChars="800"/>
        <w:jc w:val="both"/>
        <w:rPr>
          <w:rFonts w:ascii="方正小标宋简体" w:hAnsi="黑体" w:eastAsia="方正小标宋简体" w:cs="黑体"/>
          <w:b w:val="0"/>
          <w:sz w:val="36"/>
          <w:szCs w:val="36"/>
        </w:rPr>
      </w:pPr>
      <w:bookmarkStart w:id="11" w:name="_Toc29059_WPSOffice_Level1"/>
      <w:r>
        <w:rPr>
          <w:rFonts w:hint="eastAsia" w:ascii="方正小标宋简体" w:hAnsi="黑体" w:eastAsia="方正小标宋简体" w:cs="黑体"/>
          <w:b w:val="0"/>
          <w:sz w:val="36"/>
          <w:szCs w:val="36"/>
        </w:rPr>
        <w:t>第一章  询价</w:t>
      </w:r>
      <w:bookmarkEnd w:id="9"/>
      <w:r>
        <w:rPr>
          <w:rFonts w:hint="eastAsia" w:ascii="方正小标宋简体" w:hAnsi="黑体" w:eastAsia="方正小标宋简体" w:cs="黑体"/>
          <w:b w:val="0"/>
          <w:sz w:val="36"/>
          <w:szCs w:val="36"/>
        </w:rPr>
        <w:t>公告</w:t>
      </w:r>
      <w:bookmarkEnd w:id="10"/>
      <w:bookmarkEnd w:id="11"/>
      <w:r>
        <w:rPr>
          <w:rFonts w:hint="eastAsia" w:ascii="方正小标宋简体" w:eastAsia="方正小标宋简体"/>
          <w:b w:val="0"/>
        </w:rPr>
        <w:br w:type="page"/>
      </w:r>
    </w:p>
    <w:p>
      <w:pPr>
        <w:spacing w:line="360" w:lineRule="auto"/>
        <w:jc w:val="center"/>
        <w:rPr>
          <w:rFonts w:ascii="方正小标宋简体" w:eastAsia="方正小标宋简体"/>
          <w:sz w:val="30"/>
          <w:szCs w:val="30"/>
        </w:rPr>
      </w:pPr>
      <w:r>
        <w:rPr>
          <w:rFonts w:hint="eastAsia" w:ascii="方正小标宋简体" w:eastAsia="方正小标宋简体"/>
          <w:sz w:val="30"/>
          <w:szCs w:val="30"/>
          <w:lang w:eastAsia="zh-CN"/>
        </w:rPr>
        <w:t>萧县</w:t>
      </w:r>
      <w:r>
        <w:rPr>
          <w:rFonts w:hint="eastAsia" w:ascii="方正小标宋简体" w:eastAsia="方正小标宋简体"/>
          <w:sz w:val="30"/>
          <w:szCs w:val="30"/>
        </w:rPr>
        <w:t>管理处</w:t>
      </w:r>
      <w:r>
        <w:rPr>
          <w:rFonts w:hint="eastAsia" w:ascii="方正小标宋简体" w:eastAsia="方正小标宋简体"/>
          <w:sz w:val="30"/>
          <w:szCs w:val="30"/>
          <w:lang w:eastAsia="zh-CN"/>
        </w:rPr>
        <w:t>皖鲁、砀永</w:t>
      </w:r>
      <w:r>
        <w:rPr>
          <w:rFonts w:hint="eastAsia" w:ascii="方正小标宋简体" w:eastAsia="方正小标宋简体"/>
          <w:sz w:val="30"/>
          <w:szCs w:val="30"/>
        </w:rPr>
        <w:t>收费站收费大棚拆除工程询价公告</w:t>
      </w:r>
    </w:p>
    <w:p>
      <w:pPr>
        <w:pStyle w:val="2"/>
      </w:pPr>
    </w:p>
    <w:p>
      <w:pPr>
        <w:spacing w:line="360" w:lineRule="auto"/>
        <w:ind w:firstLine="480" w:firstLineChars="200"/>
        <w:rPr>
          <w:sz w:val="24"/>
        </w:rPr>
      </w:pPr>
      <w:bookmarkStart w:id="12" w:name="_Toc510603959"/>
      <w:bookmarkStart w:id="13" w:name="_Toc457482529"/>
      <w:bookmarkStart w:id="14" w:name="_Toc447808639"/>
      <w:r>
        <w:rPr>
          <w:rFonts w:hint="eastAsia"/>
          <w:sz w:val="24"/>
          <w:lang w:eastAsia="zh-CN"/>
        </w:rPr>
        <w:t>萧县</w:t>
      </w:r>
      <w:r>
        <w:rPr>
          <w:rFonts w:hint="eastAsia"/>
          <w:sz w:val="24"/>
        </w:rPr>
        <w:t>管理处</w:t>
      </w:r>
      <w:r>
        <w:rPr>
          <w:rFonts w:hint="eastAsia"/>
          <w:sz w:val="24"/>
          <w:lang w:eastAsia="zh-CN"/>
        </w:rPr>
        <w:t>皖鲁、砀永</w:t>
      </w:r>
      <w:r>
        <w:rPr>
          <w:rFonts w:hint="eastAsia"/>
          <w:sz w:val="24"/>
        </w:rPr>
        <w:t>收费站收费大棚拆除工程询价人为</w:t>
      </w:r>
      <w:r>
        <w:rPr>
          <w:rFonts w:hint="eastAsia"/>
          <w:sz w:val="24"/>
          <w:u w:val="single"/>
        </w:rPr>
        <w:t>安徽省交通控股集团有限公司</w:t>
      </w:r>
      <w:r>
        <w:rPr>
          <w:rFonts w:hint="eastAsia"/>
          <w:sz w:val="24"/>
          <w:u w:val="single"/>
          <w:lang w:eastAsia="zh-CN"/>
        </w:rPr>
        <w:t>萧县</w:t>
      </w:r>
      <w:r>
        <w:rPr>
          <w:rFonts w:hint="eastAsia"/>
          <w:sz w:val="24"/>
          <w:u w:val="single"/>
        </w:rPr>
        <w:t>管理处</w:t>
      </w:r>
      <w:r>
        <w:rPr>
          <w:sz w:val="24"/>
          <w:u w:val="single"/>
        </w:rPr>
        <w:t xml:space="preserve"> </w:t>
      </w:r>
      <w:r>
        <w:rPr>
          <w:rFonts w:hint="eastAsia"/>
          <w:sz w:val="24"/>
        </w:rPr>
        <w:t>。项目已具备询价条件，现对该项目以资格后审方式进行公开询价。</w:t>
      </w:r>
    </w:p>
    <w:p>
      <w:pPr>
        <w:spacing w:line="360" w:lineRule="auto"/>
        <w:rPr>
          <w:rFonts w:ascii="宋体" w:hAnsi="宋体" w:cs="黑体"/>
          <w:sz w:val="24"/>
        </w:rPr>
      </w:pPr>
      <w:r>
        <w:rPr>
          <w:rFonts w:hint="eastAsia" w:ascii="宋体" w:hAnsi="宋体" w:cs="黑体"/>
          <w:sz w:val="24"/>
        </w:rPr>
        <w:t>一、</w:t>
      </w:r>
      <w:r>
        <w:rPr>
          <w:rFonts w:ascii="宋体" w:hAnsi="宋体" w:cs="黑体"/>
          <w:sz w:val="24"/>
        </w:rPr>
        <w:t>项目概况与询价范围</w:t>
      </w:r>
      <w:bookmarkEnd w:id="12"/>
    </w:p>
    <w:p>
      <w:pPr>
        <w:spacing w:line="360" w:lineRule="auto"/>
        <w:ind w:firstLine="480" w:firstLineChars="200"/>
        <w:rPr>
          <w:rFonts w:ascii="宋体" w:hAnsi="宋体"/>
          <w:sz w:val="24"/>
        </w:rPr>
      </w:pPr>
      <w:bookmarkStart w:id="15" w:name="_Toc510603960"/>
      <w:r>
        <w:rPr>
          <w:rFonts w:ascii="宋体" w:hAnsi="宋体" w:cs="宋体"/>
          <w:sz w:val="24"/>
        </w:rPr>
        <w:t>1</w:t>
      </w:r>
      <w:r>
        <w:rPr>
          <w:rFonts w:hint="eastAsia" w:ascii="宋体" w:hAnsi="宋体" w:cs="宋体"/>
          <w:sz w:val="24"/>
        </w:rPr>
        <w:t>.</w:t>
      </w:r>
      <w:r>
        <w:rPr>
          <w:rFonts w:ascii="宋体" w:hAnsi="宋体"/>
          <w:sz w:val="24"/>
        </w:rPr>
        <w:t>项目名称：</w:t>
      </w:r>
      <w:r>
        <w:rPr>
          <w:rFonts w:hint="eastAsia" w:ascii="宋体" w:hAnsi="宋体"/>
          <w:sz w:val="24"/>
          <w:lang w:eastAsia="zh-CN"/>
        </w:rPr>
        <w:t>萧县</w:t>
      </w:r>
      <w:r>
        <w:rPr>
          <w:rFonts w:hint="eastAsia" w:ascii="宋体" w:hAnsi="宋体"/>
          <w:sz w:val="24"/>
        </w:rPr>
        <w:t>管理处</w:t>
      </w:r>
      <w:r>
        <w:rPr>
          <w:rFonts w:hint="eastAsia" w:ascii="宋体" w:hAnsi="宋体"/>
          <w:sz w:val="24"/>
          <w:lang w:eastAsia="zh-CN"/>
        </w:rPr>
        <w:t>皖鲁、砀永收</w:t>
      </w:r>
      <w:r>
        <w:rPr>
          <w:rFonts w:hint="eastAsia" w:ascii="宋体" w:hAnsi="宋体"/>
          <w:sz w:val="24"/>
        </w:rPr>
        <w:t>费站收费大棚拆除工程</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w:t>
      </w:r>
      <w:r>
        <w:rPr>
          <w:rFonts w:ascii="宋体" w:hAnsi="宋体" w:cs="宋体"/>
          <w:sz w:val="24"/>
        </w:rPr>
        <w:t>工程地点：</w:t>
      </w:r>
      <w:r>
        <w:rPr>
          <w:rFonts w:hint="eastAsia" w:ascii="宋体" w:hAnsi="宋体" w:cs="宋体"/>
          <w:sz w:val="24"/>
          <w:lang w:eastAsia="zh-CN"/>
        </w:rPr>
        <w:t>宿州</w:t>
      </w:r>
      <w:r>
        <w:rPr>
          <w:rFonts w:hint="eastAsia" w:ascii="宋体" w:hAnsi="宋体" w:cs="宋体"/>
          <w:sz w:val="24"/>
        </w:rPr>
        <w:t>市</w:t>
      </w:r>
      <w:r>
        <w:rPr>
          <w:rFonts w:hint="eastAsia" w:ascii="宋体" w:hAnsi="宋体" w:cs="宋体"/>
          <w:sz w:val="24"/>
          <w:lang w:eastAsia="zh-CN"/>
        </w:rPr>
        <w:t>砀山</w:t>
      </w:r>
      <w:r>
        <w:rPr>
          <w:rFonts w:hint="eastAsia" w:ascii="宋体" w:hAnsi="宋体" w:cs="宋体"/>
          <w:sz w:val="24"/>
        </w:rPr>
        <w:t>县</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w:t>
      </w:r>
      <w:r>
        <w:rPr>
          <w:rFonts w:ascii="宋体" w:hAnsi="宋体" w:cs="宋体"/>
          <w:sz w:val="24"/>
        </w:rPr>
        <w:t>建设单位：</w:t>
      </w:r>
      <w:r>
        <w:rPr>
          <w:rFonts w:hint="eastAsia"/>
          <w:sz w:val="24"/>
          <w:u w:val="single"/>
        </w:rPr>
        <w:t>安徽省交通控股集团有限公司</w:t>
      </w:r>
      <w:r>
        <w:rPr>
          <w:rFonts w:hint="eastAsia"/>
          <w:sz w:val="24"/>
          <w:u w:val="single"/>
          <w:lang w:eastAsia="zh-CN"/>
        </w:rPr>
        <w:t>萧县</w:t>
      </w:r>
      <w:r>
        <w:rPr>
          <w:rFonts w:hint="eastAsia"/>
          <w:sz w:val="24"/>
          <w:u w:val="single"/>
        </w:rPr>
        <w:t>管理处</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w:t>
      </w:r>
      <w:r>
        <w:rPr>
          <w:rFonts w:ascii="宋体" w:hAnsi="宋体" w:cs="宋体"/>
          <w:sz w:val="24"/>
        </w:rPr>
        <w:t>工程概况：</w:t>
      </w:r>
    </w:p>
    <w:p>
      <w:pPr>
        <w:widowControl/>
        <w:spacing w:line="400" w:lineRule="exact"/>
        <w:ind w:firstLine="470" w:firstLineChars="196"/>
        <w:jc w:val="left"/>
        <w:rPr>
          <w:rFonts w:ascii="宋体" w:hAnsi="宋体" w:cs="宋体"/>
          <w:sz w:val="24"/>
        </w:rPr>
      </w:pPr>
      <w:r>
        <w:rPr>
          <w:rFonts w:hint="eastAsia" w:ascii="宋体" w:hAnsi="宋体" w:cs="宋体"/>
          <w:sz w:val="24"/>
        </w:rPr>
        <w:t>本次询价项目已由安徽省交通控股集团有限公司批准实施。项目资金已落实，收费站大棚拆除工程。</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w:t>
      </w:r>
      <w:r>
        <w:rPr>
          <w:rFonts w:ascii="宋体" w:hAnsi="宋体" w:cs="宋体"/>
          <w:sz w:val="24"/>
        </w:rPr>
        <w:t>资金来源：业主自筹。</w:t>
      </w:r>
    </w:p>
    <w:p>
      <w:pPr>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w:t>
      </w:r>
      <w:r>
        <w:rPr>
          <w:rFonts w:ascii="宋体" w:hAnsi="宋体" w:cs="宋体"/>
          <w:sz w:val="24"/>
        </w:rPr>
        <w:t>标段划分：共计1个合同段。</w:t>
      </w:r>
    </w:p>
    <w:p>
      <w:pPr>
        <w:spacing w:line="400" w:lineRule="exact"/>
        <w:ind w:firstLine="480" w:firstLineChars="200"/>
        <w:rPr>
          <w:sz w:val="24"/>
        </w:rPr>
      </w:pPr>
      <w:r>
        <w:rPr>
          <w:rFonts w:ascii="宋体" w:hAnsi="宋体" w:cs="宋体"/>
          <w:sz w:val="24"/>
        </w:rPr>
        <w:t>7</w:t>
      </w:r>
      <w:r>
        <w:rPr>
          <w:rFonts w:hint="eastAsia" w:ascii="宋体" w:hAnsi="宋体" w:cs="宋体"/>
          <w:sz w:val="24"/>
        </w:rPr>
        <w:t>.</w:t>
      </w:r>
      <w:r>
        <w:rPr>
          <w:rFonts w:ascii="宋体" w:hAnsi="宋体" w:cs="宋体"/>
          <w:sz w:val="24"/>
        </w:rPr>
        <w:t>计划工期：</w:t>
      </w:r>
      <w:r>
        <w:rPr>
          <w:rFonts w:hint="eastAsia" w:ascii="宋体" w:hAnsi="宋体" w:cs="宋体"/>
          <w:sz w:val="24"/>
        </w:rPr>
        <w:t>工程分为两期，</w:t>
      </w:r>
      <w:r>
        <w:rPr>
          <w:rFonts w:hint="eastAsia" w:ascii="宋体" w:hAnsi="宋体" w:cs="宋体"/>
          <w:sz w:val="24"/>
          <w:highlight w:val="none"/>
        </w:rPr>
        <w:t>第一期</w:t>
      </w:r>
      <w:r>
        <w:rPr>
          <w:rFonts w:hint="eastAsia"/>
          <w:sz w:val="24"/>
          <w:highlight w:val="none"/>
        </w:rPr>
        <w:t>计划工期为</w:t>
      </w:r>
      <w:r>
        <w:rPr>
          <w:sz w:val="24"/>
          <w:highlight w:val="none"/>
        </w:rPr>
        <w:t>2019</w:t>
      </w:r>
      <w:r>
        <w:rPr>
          <w:rFonts w:hint="eastAsia"/>
          <w:sz w:val="24"/>
          <w:highlight w:val="none"/>
        </w:rPr>
        <w:t>年</w:t>
      </w:r>
      <w:r>
        <w:rPr>
          <w:rFonts w:hint="eastAsia"/>
          <w:sz w:val="24"/>
          <w:highlight w:val="none"/>
          <w:lang w:val="en-US" w:eastAsia="zh-CN"/>
        </w:rPr>
        <w:t>9</w:t>
      </w:r>
      <w:r>
        <w:rPr>
          <w:rFonts w:hint="eastAsia"/>
          <w:sz w:val="24"/>
          <w:highlight w:val="none"/>
        </w:rPr>
        <w:t>月。</w:t>
      </w:r>
      <w:r>
        <w:rPr>
          <w:rFonts w:hint="eastAsia"/>
          <w:sz w:val="24"/>
        </w:rPr>
        <w:t>第二期计划工期为2020年1月至3月。</w:t>
      </w:r>
      <w:r>
        <w:rPr>
          <w:rFonts w:hint="eastAsia" w:ascii="宋体" w:hAnsi="宋体" w:cs="宋体"/>
          <w:sz w:val="24"/>
        </w:rPr>
        <w:t>具体开工日期以合同为准。</w:t>
      </w:r>
    </w:p>
    <w:p>
      <w:pPr>
        <w:spacing w:line="360" w:lineRule="auto"/>
        <w:rPr>
          <w:rFonts w:ascii="宋体" w:hAnsi="宋体" w:cs="黑体"/>
          <w:sz w:val="24"/>
        </w:rPr>
      </w:pPr>
      <w:r>
        <w:rPr>
          <w:rFonts w:hint="eastAsia" w:ascii="宋体" w:hAnsi="宋体" w:cs="黑体"/>
          <w:sz w:val="24"/>
        </w:rPr>
        <w:t>二、</w:t>
      </w:r>
      <w:r>
        <w:rPr>
          <w:rFonts w:ascii="宋体" w:hAnsi="宋体" w:cs="黑体"/>
          <w:sz w:val="24"/>
        </w:rPr>
        <w:t xml:space="preserve"> </w:t>
      </w:r>
      <w:r>
        <w:rPr>
          <w:rFonts w:hint="eastAsia" w:ascii="宋体" w:hAnsi="宋体" w:cs="黑体"/>
          <w:sz w:val="24"/>
        </w:rPr>
        <w:t>报价人资格要求</w:t>
      </w:r>
      <w:bookmarkEnd w:id="13"/>
      <w:bookmarkEnd w:id="14"/>
      <w:bookmarkEnd w:id="15"/>
    </w:p>
    <w:p>
      <w:pPr>
        <w:pStyle w:val="46"/>
        <w:spacing w:before="0" w:beforeAutospacing="0" w:after="0" w:afterAutospacing="0" w:line="360" w:lineRule="auto"/>
        <w:ind w:firstLine="480" w:firstLineChars="200"/>
        <w:rPr>
          <w:rFonts w:cs="Arial"/>
          <w:szCs w:val="24"/>
        </w:rPr>
      </w:pPr>
      <w:r>
        <w:rPr>
          <w:szCs w:val="24"/>
        </w:rPr>
        <w:t>1</w:t>
      </w:r>
      <w:r>
        <w:rPr>
          <w:rFonts w:hint="eastAsia"/>
          <w:szCs w:val="24"/>
        </w:rPr>
        <w:t>.</w:t>
      </w:r>
      <w:r>
        <w:rPr>
          <w:szCs w:val="24"/>
        </w:rPr>
        <w:t>本次</w:t>
      </w:r>
      <w:r>
        <w:rPr>
          <w:rFonts w:hint="eastAsia"/>
          <w:szCs w:val="24"/>
        </w:rPr>
        <w:t>询价</w:t>
      </w:r>
      <w:r>
        <w:rPr>
          <w:szCs w:val="24"/>
        </w:rPr>
        <w:t>要求报价人须具备的资质、业绩、财务、信誉、项目经理等要求见公告附件《资格审查条件》，并在其他人员、设备、资金等方面具有相应的施工能力。</w:t>
      </w:r>
    </w:p>
    <w:p>
      <w:pPr>
        <w:spacing w:line="360" w:lineRule="auto"/>
        <w:ind w:firstLine="480" w:firstLineChars="200"/>
        <w:rPr>
          <w:rFonts w:ascii="宋体" w:hAnsi="宋体" w:cs="宋体"/>
          <w:sz w:val="24"/>
        </w:rPr>
      </w:pPr>
      <w:r>
        <w:rPr>
          <w:rFonts w:hint="eastAsia" w:ascii="宋体" w:hAnsi="宋体" w:cs="宋体"/>
          <w:sz w:val="24"/>
        </w:rPr>
        <w:t>2.本次询价不接受联合体。</w:t>
      </w:r>
    </w:p>
    <w:p>
      <w:pPr>
        <w:spacing w:line="360" w:lineRule="auto"/>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w:t>
      </w:r>
      <w:r>
        <w:rPr>
          <w:rFonts w:ascii="宋体" w:hAnsi="宋体" w:cs="宋体"/>
          <w:sz w:val="24"/>
        </w:rPr>
        <w:t>与询价人存在利害关系可能影响</w:t>
      </w:r>
      <w:r>
        <w:rPr>
          <w:rFonts w:hint="eastAsia" w:ascii="宋体" w:hAnsi="宋体" w:cs="宋体"/>
          <w:sz w:val="24"/>
        </w:rPr>
        <w:t>询价公正性的单位，不得参加报价。单位负责人为同一人或者存在控股、管理关系的不同单位，不得同时参加报价，否则，相关报价均无效。</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报价保证金：需缴纳报价保证金人民币壹万伍仟元整（￥15000.00），投标人须在递交响应文件截止日期前缴纳报价投保证金；合同签订后7个工作日内退还未中标单位报价保证金，签订合同单位报价保证金直接转为履约保证金，履约保证金待工程交工后7个工作日内退还报价人。</w:t>
      </w:r>
    </w:p>
    <w:p>
      <w:pPr>
        <w:spacing w:line="360" w:lineRule="auto"/>
        <w:ind w:firstLine="480" w:firstLineChars="200"/>
        <w:rPr>
          <w:rFonts w:ascii="宋体" w:hAnsi="宋体"/>
          <w:sz w:val="24"/>
        </w:rPr>
      </w:pPr>
      <w:r>
        <w:rPr>
          <w:rFonts w:hint="eastAsia" w:ascii="宋体" w:hAnsi="宋体" w:cs="宋体"/>
          <w:sz w:val="24"/>
          <w:lang w:val="en-US" w:eastAsia="zh-CN"/>
        </w:rPr>
        <w:t>5</w:t>
      </w:r>
      <w:r>
        <w:rPr>
          <w:rFonts w:hint="eastAsia" w:ascii="宋体" w:hAnsi="宋体" w:cs="宋体"/>
          <w:sz w:val="24"/>
        </w:rPr>
        <w:t>.</w:t>
      </w:r>
      <w:r>
        <w:rPr>
          <w:rFonts w:ascii="宋体" w:hAnsi="宋体" w:cs="宋体"/>
          <w:sz w:val="24"/>
        </w:rPr>
        <w:t>在“信用中国”网站（http：//www.creditchina.gov.cn/）中被列入失信被执行人名单的报价人，不得参加报价。</w:t>
      </w:r>
    </w:p>
    <w:p>
      <w:pPr>
        <w:spacing w:line="360" w:lineRule="auto"/>
        <w:rPr>
          <w:rFonts w:ascii="宋体" w:hAnsi="宋体" w:cs="黑体"/>
          <w:sz w:val="24"/>
        </w:rPr>
      </w:pPr>
      <w:bookmarkStart w:id="16" w:name="_Toc510603961"/>
      <w:r>
        <w:rPr>
          <w:rFonts w:hint="eastAsia" w:ascii="宋体" w:hAnsi="宋体" w:cs="黑体"/>
          <w:sz w:val="24"/>
        </w:rPr>
        <w:t>三、询价文件的获取</w:t>
      </w:r>
      <w:bookmarkEnd w:id="16"/>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报名方式：网上报名。</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w:t>
      </w:r>
      <w:r>
        <w:rPr>
          <w:rFonts w:ascii="宋体" w:hAnsi="宋体" w:cs="宋体"/>
          <w:sz w:val="24"/>
        </w:rPr>
        <w:t>询价文件及相关资料领取：</w:t>
      </w:r>
      <w:bookmarkStart w:id="17" w:name="_Toc457482531"/>
      <w:bookmarkStart w:id="18" w:name="_Toc447808641"/>
      <w:r>
        <w:rPr>
          <w:rFonts w:hint="eastAsia" w:ascii="宋体" w:hAnsi="宋体" w:cs="宋体"/>
          <w:sz w:val="24"/>
        </w:rPr>
        <w:t>安徽省交通控股集团有限公司网站（网址：</w:t>
      </w:r>
      <w:r>
        <w:fldChar w:fldCharType="begin"/>
      </w:r>
      <w:r>
        <w:instrText xml:space="preserve"> HYPERLINK "http://www.ahjkjt.com）自行下载。" </w:instrText>
      </w:r>
      <w:r>
        <w:fldChar w:fldCharType="separate"/>
      </w:r>
      <w:r>
        <w:rPr>
          <w:rFonts w:ascii="宋体" w:hAnsi="宋体" w:cs="宋体"/>
          <w:sz w:val="24"/>
        </w:rPr>
        <w:t>https://www.ahjkjt.com）自行下载。</w:t>
      </w:r>
      <w:r>
        <w:rPr>
          <w:rFonts w:ascii="宋体" w:hAnsi="宋体" w:cs="宋体"/>
          <w:sz w:val="24"/>
        </w:rPr>
        <w:fldChar w:fldCharType="end"/>
      </w:r>
    </w:p>
    <w:p>
      <w:pPr>
        <w:spacing w:line="360" w:lineRule="auto"/>
        <w:ind w:firstLine="480" w:firstLineChars="200"/>
        <w:rPr>
          <w:rFonts w:ascii="宋体" w:hAnsi="宋体"/>
          <w:color w:val="0000FF"/>
          <w:sz w:val="24"/>
        </w:rPr>
      </w:pPr>
      <w:r>
        <w:rPr>
          <w:rFonts w:ascii="宋体" w:hAnsi="宋体" w:cs="宋体"/>
          <w:sz w:val="24"/>
        </w:rPr>
        <w:t>3</w:t>
      </w:r>
      <w:r>
        <w:rPr>
          <w:rFonts w:hint="eastAsia" w:ascii="宋体" w:hAnsi="宋体" w:cs="宋体"/>
          <w:sz w:val="24"/>
        </w:rPr>
        <w:t>.</w:t>
      </w:r>
      <w:r>
        <w:rPr>
          <w:rFonts w:ascii="宋体" w:hAnsi="宋体" w:cs="宋体"/>
          <w:sz w:val="24"/>
        </w:rPr>
        <w:t>至</w:t>
      </w:r>
      <w:r>
        <w:rPr>
          <w:rFonts w:hint="eastAsia" w:ascii="宋体" w:hAnsi="宋体" w:cs="宋体"/>
          <w:sz w:val="24"/>
        </w:rPr>
        <w:t>报价截止时间递交响应文件的供应商不足三家将在开标现场宣布流标，退还所有响应文件。</w:t>
      </w:r>
    </w:p>
    <w:p>
      <w:pPr>
        <w:spacing w:line="360" w:lineRule="auto"/>
        <w:rPr>
          <w:rFonts w:ascii="宋体" w:hAnsi="宋体" w:cs="黑体"/>
          <w:sz w:val="24"/>
        </w:rPr>
      </w:pPr>
      <w:bookmarkStart w:id="19" w:name="_Toc510603962"/>
      <w:r>
        <w:rPr>
          <w:rFonts w:hint="eastAsia" w:ascii="宋体" w:hAnsi="宋体" w:cs="黑体"/>
          <w:sz w:val="24"/>
        </w:rPr>
        <w:t>四、响应文件的递交及相关事宜</w:t>
      </w:r>
      <w:bookmarkEnd w:id="17"/>
      <w:bookmarkEnd w:id="18"/>
      <w:bookmarkEnd w:id="19"/>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询价人不组织踏勘现场，报价人可自行对项目现场进行充分考察。询价人不组织召开预备会。</w:t>
      </w:r>
    </w:p>
    <w:p>
      <w:pPr>
        <w:spacing w:line="360" w:lineRule="auto"/>
        <w:ind w:firstLine="480" w:firstLineChars="200"/>
        <w:rPr>
          <w:rFonts w:ascii="宋体" w:hAnsi="宋体" w:cs="宋体"/>
          <w:sz w:val="24"/>
          <w:highlight w:val="none"/>
        </w:rPr>
      </w:pPr>
      <w:r>
        <w:rPr>
          <w:rFonts w:ascii="宋体" w:hAnsi="宋体" w:cs="宋体"/>
          <w:sz w:val="24"/>
        </w:rPr>
        <w:t>2</w:t>
      </w:r>
      <w:r>
        <w:rPr>
          <w:rFonts w:hint="eastAsia" w:ascii="宋体" w:hAnsi="宋体" w:cs="宋体"/>
          <w:sz w:val="24"/>
        </w:rPr>
        <w:t>.</w:t>
      </w:r>
      <w:r>
        <w:rPr>
          <w:rFonts w:ascii="宋体" w:hAnsi="宋体" w:cs="宋体"/>
          <w:sz w:val="24"/>
        </w:rPr>
        <w:t>响应文件递交的截</w:t>
      </w:r>
      <w:r>
        <w:rPr>
          <w:rFonts w:ascii="宋体" w:hAnsi="宋体" w:cs="宋体"/>
          <w:sz w:val="24"/>
          <w:highlight w:val="none"/>
        </w:rPr>
        <w:t>止时间：</w:t>
      </w:r>
      <w:r>
        <w:rPr>
          <w:rFonts w:ascii="宋体" w:hAnsi="宋体" w:cs="宋体"/>
          <w:sz w:val="24"/>
          <w:highlight w:val="yellow"/>
        </w:rPr>
        <w:t>2019年</w:t>
      </w:r>
      <w:r>
        <w:rPr>
          <w:rFonts w:hint="eastAsia" w:ascii="宋体" w:hAnsi="宋体" w:cs="宋体"/>
          <w:sz w:val="24"/>
          <w:highlight w:val="yellow"/>
        </w:rPr>
        <w:t>8月</w:t>
      </w:r>
      <w:r>
        <w:rPr>
          <w:rFonts w:hint="eastAsia" w:ascii="宋体" w:hAnsi="宋体" w:cs="宋体"/>
          <w:sz w:val="24"/>
          <w:highlight w:val="yellow"/>
          <w:lang w:val="en-US" w:eastAsia="zh-CN"/>
        </w:rPr>
        <w:t>28</w:t>
      </w:r>
      <w:r>
        <w:rPr>
          <w:rFonts w:hint="eastAsia" w:ascii="宋体" w:hAnsi="宋体" w:cs="宋体"/>
          <w:sz w:val="24"/>
          <w:highlight w:val="yellow"/>
        </w:rPr>
        <w:t>日10</w:t>
      </w:r>
      <w:r>
        <w:rPr>
          <w:rFonts w:ascii="宋体" w:hAnsi="宋体" w:cs="宋体"/>
          <w:sz w:val="24"/>
          <w:highlight w:val="yellow"/>
        </w:rPr>
        <w:t>时</w:t>
      </w:r>
      <w:r>
        <w:rPr>
          <w:rFonts w:hint="eastAsia" w:ascii="宋体" w:hAnsi="宋体" w:cs="宋体"/>
          <w:sz w:val="24"/>
          <w:highlight w:val="yellow"/>
        </w:rPr>
        <w:t>00</w:t>
      </w:r>
      <w:r>
        <w:rPr>
          <w:rFonts w:ascii="宋体" w:hAnsi="宋体" w:cs="宋体"/>
          <w:sz w:val="24"/>
          <w:highlight w:val="yellow"/>
        </w:rPr>
        <w:t>分</w:t>
      </w:r>
      <w:r>
        <w:rPr>
          <w:rFonts w:ascii="宋体" w:hAnsi="宋体" w:cs="宋体"/>
          <w:sz w:val="24"/>
          <w:highlight w:val="none"/>
        </w:rPr>
        <w:t>，响应文件递交的地点：</w:t>
      </w:r>
      <w:r>
        <w:rPr>
          <w:rFonts w:hint="eastAsia" w:ascii="宋体" w:hAnsi="宋体" w:cs="宋体"/>
          <w:sz w:val="24"/>
          <w:highlight w:val="none"/>
          <w:u w:val="single"/>
        </w:rPr>
        <w:t>安徽省</w:t>
      </w:r>
      <w:r>
        <w:rPr>
          <w:rFonts w:hint="eastAsia" w:ascii="宋体" w:hAnsi="宋体" w:cs="宋体"/>
          <w:sz w:val="24"/>
          <w:highlight w:val="none"/>
          <w:u w:val="single"/>
          <w:lang w:eastAsia="zh-CN"/>
        </w:rPr>
        <w:t>宿州</w:t>
      </w:r>
      <w:r>
        <w:rPr>
          <w:rFonts w:hint="eastAsia" w:ascii="宋体" w:hAnsi="宋体" w:cs="宋体"/>
          <w:sz w:val="24"/>
          <w:highlight w:val="none"/>
          <w:u w:val="single"/>
        </w:rPr>
        <w:t>市</w:t>
      </w:r>
      <w:r>
        <w:rPr>
          <w:rFonts w:hint="eastAsia" w:ascii="宋体" w:hAnsi="宋体" w:cs="宋体"/>
          <w:sz w:val="24"/>
          <w:highlight w:val="none"/>
          <w:u w:val="single"/>
          <w:lang w:eastAsia="zh-CN"/>
        </w:rPr>
        <w:t>萧县连霍高速公路萧县东出口处萧县</w:t>
      </w:r>
      <w:r>
        <w:rPr>
          <w:rFonts w:hint="eastAsia" w:ascii="宋体" w:hAnsi="宋体" w:cs="宋体"/>
          <w:sz w:val="24"/>
          <w:highlight w:val="none"/>
          <w:u w:val="single"/>
        </w:rPr>
        <w:t>管理处二楼</w:t>
      </w:r>
      <w:r>
        <w:rPr>
          <w:rFonts w:hint="eastAsia" w:ascii="宋体" w:hAnsi="宋体" w:cs="宋体"/>
          <w:sz w:val="24"/>
          <w:highlight w:val="none"/>
          <w:u w:val="single"/>
          <w:lang w:eastAsia="zh-CN"/>
        </w:rPr>
        <w:t>会</w:t>
      </w:r>
      <w:r>
        <w:rPr>
          <w:rFonts w:hint="eastAsia" w:ascii="宋体" w:hAnsi="宋体" w:cs="宋体"/>
          <w:sz w:val="24"/>
          <w:highlight w:val="none"/>
          <w:u w:val="single"/>
        </w:rPr>
        <w:t>议室</w:t>
      </w:r>
      <w:r>
        <w:rPr>
          <w:rFonts w:hint="eastAsia" w:ascii="宋体" w:hAnsi="宋体" w:cs="宋体"/>
          <w:sz w:val="24"/>
          <w:highlight w:val="none"/>
        </w:rPr>
        <w:t>。询价人定于响应文件递交截止的同一时间、同一地点举行公开开标，报价人的法定代表人或授权代理人应携带本人身份证准时参加开标会议。</w:t>
      </w:r>
    </w:p>
    <w:p>
      <w:pPr>
        <w:pStyle w:val="2"/>
        <w:spacing w:line="360" w:lineRule="auto"/>
        <w:ind w:firstLine="480" w:firstLineChars="200"/>
        <w:rPr>
          <w:rFonts w:ascii="宋体" w:hAns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w:t>
      </w:r>
      <w:r>
        <w:rPr>
          <w:rFonts w:ascii="宋体" w:hAnsi="宋体" w:cs="宋体"/>
          <w:sz w:val="24"/>
          <w:szCs w:val="24"/>
          <w:highlight w:val="none"/>
        </w:rPr>
        <w:t>逾期送达的或者未送达指定地点的响应文件，询价人不予受理。</w:t>
      </w:r>
    </w:p>
    <w:p>
      <w:pPr>
        <w:spacing w:line="360" w:lineRule="auto"/>
        <w:ind w:firstLine="480" w:firstLineChars="200"/>
        <w:rPr>
          <w:rFonts w:ascii="宋体" w:hAnsi="宋体"/>
          <w:sz w:val="24"/>
        </w:rPr>
      </w:pPr>
      <w:r>
        <w:rPr>
          <w:rFonts w:ascii="宋体" w:hAnsi="宋体" w:cs="宋体"/>
          <w:sz w:val="24"/>
          <w:highlight w:val="none"/>
        </w:rPr>
        <w:t>4</w:t>
      </w:r>
      <w:r>
        <w:rPr>
          <w:rFonts w:hint="eastAsia" w:ascii="宋体" w:hAnsi="宋体" w:cs="宋体"/>
          <w:sz w:val="24"/>
          <w:highlight w:val="none"/>
        </w:rPr>
        <w:t>.</w:t>
      </w:r>
      <w:r>
        <w:rPr>
          <w:rFonts w:ascii="宋体" w:hAnsi="宋体" w:cs="宋体"/>
          <w:sz w:val="24"/>
          <w:highlight w:val="none"/>
        </w:rPr>
        <w:t>本项目</w:t>
      </w:r>
      <w:r>
        <w:rPr>
          <w:rFonts w:hint="eastAsia" w:ascii="宋体" w:hAnsi="宋体" w:cs="宋体"/>
          <w:sz w:val="24"/>
          <w:highlight w:val="none"/>
        </w:rPr>
        <w:t>设</w:t>
      </w:r>
      <w:r>
        <w:rPr>
          <w:rFonts w:ascii="宋体" w:hAnsi="宋体" w:cs="宋体"/>
          <w:sz w:val="24"/>
          <w:highlight w:val="none"/>
        </w:rPr>
        <w:t>最高限</w:t>
      </w:r>
      <w:r>
        <w:rPr>
          <w:rFonts w:hint="eastAsia" w:ascii="宋体" w:hAnsi="宋体" w:cs="宋体"/>
          <w:sz w:val="24"/>
          <w:highlight w:val="none"/>
        </w:rPr>
        <w:t>价</w:t>
      </w:r>
      <w:r>
        <w:rPr>
          <w:rFonts w:ascii="宋体" w:hAnsi="宋体" w:cs="宋体"/>
          <w:sz w:val="24"/>
          <w:highlight w:val="none"/>
        </w:rPr>
        <w:t>为</w:t>
      </w:r>
      <w:r>
        <w:rPr>
          <w:rFonts w:hint="eastAsia" w:ascii="宋体" w:hAnsi="宋体" w:cs="宋体"/>
          <w:b/>
          <w:bCs/>
          <w:sz w:val="24"/>
          <w:highlight w:val="none"/>
          <w:u w:val="single"/>
        </w:rPr>
        <w:t xml:space="preserve"> </w:t>
      </w:r>
      <w:r>
        <w:rPr>
          <w:rFonts w:hint="eastAsia" w:ascii="宋体" w:hAnsi="宋体" w:cs="宋体"/>
          <w:b/>
          <w:bCs/>
          <w:sz w:val="24"/>
          <w:highlight w:val="none"/>
          <w:u w:val="single"/>
          <w:lang w:val="en-US" w:eastAsia="zh-CN"/>
        </w:rPr>
        <w:t>87</w:t>
      </w:r>
      <w:r>
        <w:rPr>
          <w:rFonts w:hint="eastAsia" w:ascii="宋体" w:hAnsi="宋体" w:cs="宋体"/>
          <w:b/>
          <w:bCs/>
          <w:sz w:val="24"/>
          <w:highlight w:val="none"/>
          <w:u w:val="single"/>
        </w:rPr>
        <w:t>万元</w:t>
      </w:r>
      <w:r>
        <w:rPr>
          <w:rFonts w:hint="eastAsia" w:ascii="宋体" w:hAnsi="宋体" w:cs="宋体"/>
          <w:sz w:val="24"/>
          <w:highlight w:val="none"/>
        </w:rPr>
        <w:t>，报价人的报价不得超过询价人设定的报价限价上限，否则作废标处理。</w:t>
      </w:r>
    </w:p>
    <w:p>
      <w:pPr>
        <w:spacing w:line="360" w:lineRule="auto"/>
        <w:rPr>
          <w:rFonts w:ascii="宋体" w:hAnsi="宋体" w:cs="黑体"/>
          <w:sz w:val="24"/>
        </w:rPr>
      </w:pPr>
      <w:bookmarkStart w:id="20" w:name="_Toc447808642"/>
      <w:bookmarkStart w:id="21" w:name="_Toc457482532"/>
      <w:bookmarkStart w:id="22" w:name="_Toc510603963"/>
      <w:r>
        <w:rPr>
          <w:rFonts w:hint="eastAsia" w:ascii="宋体" w:hAnsi="宋体" w:cs="黑体"/>
          <w:sz w:val="24"/>
        </w:rPr>
        <w:t>五、发布公告的媒介</w:t>
      </w:r>
      <w:bookmarkEnd w:id="20"/>
      <w:bookmarkEnd w:id="21"/>
      <w:bookmarkEnd w:id="22"/>
    </w:p>
    <w:p>
      <w:pPr>
        <w:spacing w:line="360" w:lineRule="auto"/>
        <w:ind w:firstLine="240" w:firstLineChars="100"/>
        <w:rPr>
          <w:rFonts w:ascii="宋体" w:hAnsi="宋体"/>
          <w:sz w:val="24"/>
        </w:rPr>
      </w:pPr>
      <w:r>
        <w:rPr>
          <w:rFonts w:hint="eastAsia" w:ascii="宋体" w:hAnsi="宋体"/>
          <w:sz w:val="24"/>
        </w:rPr>
        <w:t>本次询价公告和评审结果公示在</w:t>
      </w:r>
      <w:r>
        <w:rPr>
          <w:rFonts w:hint="eastAsia" w:ascii="宋体" w:hAnsi="宋体"/>
          <w:sz w:val="24"/>
          <w:u w:val="single"/>
        </w:rPr>
        <w:t>安徽省交通控股集团有限公司网站</w:t>
      </w:r>
      <w:r>
        <w:rPr>
          <w:rFonts w:hint="eastAsia" w:ascii="宋体" w:hAnsi="宋体"/>
          <w:sz w:val="24"/>
        </w:rPr>
        <w:t>上发布。</w:t>
      </w:r>
    </w:p>
    <w:p>
      <w:pPr>
        <w:spacing w:line="360" w:lineRule="auto"/>
        <w:rPr>
          <w:rFonts w:ascii="宋体" w:hAnsi="宋体" w:cs="黑体"/>
          <w:sz w:val="24"/>
        </w:rPr>
      </w:pPr>
      <w:bookmarkStart w:id="23" w:name="_Toc457482533"/>
      <w:bookmarkStart w:id="24" w:name="_Toc447808643"/>
      <w:bookmarkStart w:id="25" w:name="_Toc510603964"/>
      <w:r>
        <w:rPr>
          <w:rFonts w:hint="eastAsia" w:ascii="宋体" w:hAnsi="宋体" w:cs="黑体"/>
          <w:sz w:val="24"/>
        </w:rPr>
        <w:t>六、联系方式</w:t>
      </w:r>
      <w:bookmarkEnd w:id="23"/>
      <w:bookmarkEnd w:id="24"/>
      <w:bookmarkEnd w:id="25"/>
    </w:p>
    <w:p>
      <w:pPr>
        <w:spacing w:line="360" w:lineRule="auto"/>
        <w:ind w:firstLine="480" w:firstLineChars="200"/>
        <w:rPr>
          <w:rFonts w:ascii="宋体" w:hAnsi="宋体" w:cs="宋体"/>
          <w:sz w:val="24"/>
          <w:u w:val="single"/>
        </w:rPr>
      </w:pPr>
      <w:r>
        <w:rPr>
          <w:rFonts w:hint="eastAsia" w:ascii="宋体" w:hAnsi="宋体" w:cs="宋体"/>
          <w:sz w:val="24"/>
        </w:rPr>
        <w:t xml:space="preserve">询 </w:t>
      </w:r>
      <w:r>
        <w:rPr>
          <w:rFonts w:ascii="宋体" w:hAnsi="宋体" w:cs="宋体"/>
          <w:sz w:val="24"/>
        </w:rPr>
        <w:t>价 人</w:t>
      </w:r>
      <w:r>
        <w:rPr>
          <w:rFonts w:hint="eastAsia" w:ascii="宋体" w:hAnsi="宋体" w:cs="宋体"/>
          <w:sz w:val="24"/>
          <w:u w:val="single"/>
        </w:rPr>
        <w:t>：</w:t>
      </w:r>
      <w:r>
        <w:rPr>
          <w:rFonts w:ascii="宋体" w:hAnsi="宋体" w:cs="宋体"/>
          <w:sz w:val="24"/>
          <w:u w:val="single"/>
        </w:rPr>
        <w:t xml:space="preserve">  安徽省交通控股集团有限公司</w:t>
      </w:r>
      <w:r>
        <w:rPr>
          <w:rFonts w:hint="eastAsia" w:ascii="宋体" w:hAnsi="宋体" w:cs="宋体"/>
          <w:sz w:val="24"/>
          <w:u w:val="single"/>
          <w:lang w:eastAsia="zh-CN"/>
        </w:rPr>
        <w:t>萧县</w:t>
      </w:r>
      <w:r>
        <w:rPr>
          <w:rFonts w:ascii="宋体" w:hAnsi="宋体" w:cs="宋体"/>
          <w:sz w:val="24"/>
          <w:u w:val="single"/>
        </w:rPr>
        <w:t xml:space="preserve">管理处 </w:t>
      </w:r>
    </w:p>
    <w:p>
      <w:pPr>
        <w:spacing w:line="360" w:lineRule="auto"/>
        <w:ind w:firstLine="480" w:firstLineChars="200"/>
        <w:rPr>
          <w:rFonts w:hint="eastAsia" w:ascii="宋体" w:hAnsi="宋体" w:cs="宋体"/>
          <w:sz w:val="24"/>
          <w:highlight w:val="none"/>
          <w:u w:val="single"/>
          <w:lang w:eastAsia="zh-CN"/>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hint="eastAsia" w:ascii="宋体" w:hAnsi="宋体" w:cs="宋体"/>
          <w:sz w:val="24"/>
          <w:u w:val="single"/>
        </w:rPr>
        <w:t>：</w:t>
      </w:r>
      <w:r>
        <w:rPr>
          <w:rFonts w:hint="eastAsia" w:ascii="宋体" w:hAnsi="宋体" w:cs="宋体"/>
          <w:sz w:val="24"/>
          <w:highlight w:val="none"/>
          <w:u w:val="single"/>
        </w:rPr>
        <w:t>安徽省</w:t>
      </w:r>
      <w:r>
        <w:rPr>
          <w:rFonts w:hint="eastAsia" w:ascii="宋体" w:hAnsi="宋体" w:cs="宋体"/>
          <w:sz w:val="24"/>
          <w:highlight w:val="none"/>
          <w:u w:val="single"/>
          <w:lang w:eastAsia="zh-CN"/>
        </w:rPr>
        <w:t>宿州</w:t>
      </w:r>
      <w:r>
        <w:rPr>
          <w:rFonts w:hint="eastAsia" w:ascii="宋体" w:hAnsi="宋体" w:cs="宋体"/>
          <w:sz w:val="24"/>
          <w:highlight w:val="none"/>
          <w:u w:val="single"/>
        </w:rPr>
        <w:t>市</w:t>
      </w:r>
      <w:r>
        <w:rPr>
          <w:rFonts w:hint="eastAsia" w:ascii="宋体" w:hAnsi="宋体" w:cs="宋体"/>
          <w:sz w:val="24"/>
          <w:highlight w:val="none"/>
          <w:u w:val="single"/>
          <w:lang w:eastAsia="zh-CN"/>
        </w:rPr>
        <w:t>萧县连霍高速公路萧县东出口处</w:t>
      </w:r>
    </w:p>
    <w:p>
      <w:pPr>
        <w:spacing w:line="360" w:lineRule="auto"/>
        <w:ind w:firstLine="480" w:firstLineChars="200"/>
        <w:rPr>
          <w:rFonts w:ascii="宋体" w:hAnsi="宋体" w:cs="宋体"/>
          <w:sz w:val="24"/>
          <w:u w:val="single"/>
        </w:rPr>
      </w:pPr>
      <w:r>
        <w:rPr>
          <w:rFonts w:hint="eastAsia" w:ascii="宋体" w:hAnsi="宋体" w:cs="宋体"/>
          <w:sz w:val="24"/>
        </w:rPr>
        <w:t>邮</w:t>
      </w:r>
      <w:r>
        <w:rPr>
          <w:rFonts w:ascii="宋体" w:hAnsi="宋体" w:cs="宋体"/>
          <w:sz w:val="24"/>
        </w:rPr>
        <w:t xml:space="preserve">    编</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lang w:val="en-US" w:eastAsia="zh-CN"/>
        </w:rPr>
        <w:t>235300</w:t>
      </w:r>
      <w:r>
        <w:rPr>
          <w:rFonts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联</w:t>
      </w:r>
      <w:r>
        <w:rPr>
          <w:rFonts w:ascii="宋体" w:hAnsi="宋体" w:cs="宋体"/>
          <w:sz w:val="24"/>
        </w:rPr>
        <w:t xml:space="preserve"> </w:t>
      </w:r>
      <w:r>
        <w:rPr>
          <w:rFonts w:hint="eastAsia" w:ascii="宋体" w:hAnsi="宋体" w:cs="宋体"/>
          <w:sz w:val="24"/>
        </w:rPr>
        <w:t>系</w:t>
      </w:r>
      <w:r>
        <w:rPr>
          <w:rFonts w:ascii="宋体" w:hAnsi="宋体" w:cs="宋体"/>
          <w:sz w:val="24"/>
        </w:rPr>
        <w:t xml:space="preserve"> </w:t>
      </w:r>
      <w:r>
        <w:rPr>
          <w:rFonts w:hint="eastAsia" w:ascii="宋体" w:hAnsi="宋体" w:cs="宋体"/>
          <w:sz w:val="24"/>
        </w:rPr>
        <w:t>人</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lang w:eastAsia="zh-CN"/>
        </w:rPr>
        <w:t>代</w:t>
      </w:r>
      <w:r>
        <w:rPr>
          <w:rFonts w:ascii="宋体" w:hAnsi="宋体" w:cs="宋体"/>
          <w:sz w:val="24"/>
          <w:u w:val="single"/>
        </w:rPr>
        <w:t xml:space="preserve"> </w:t>
      </w:r>
      <w:r>
        <w:rPr>
          <w:rFonts w:hint="eastAsia" w:ascii="宋体" w:hAnsi="宋体" w:cs="宋体"/>
          <w:sz w:val="24"/>
          <w:u w:val="single"/>
        </w:rPr>
        <w:t>工</w:t>
      </w:r>
      <w:r>
        <w:rPr>
          <w:rFonts w:ascii="宋体" w:hAnsi="宋体" w:cs="宋体"/>
          <w:sz w:val="24"/>
          <w:u w:val="single"/>
        </w:rPr>
        <w:t xml:space="preserve">       </w:t>
      </w:r>
      <w:r>
        <w:rPr>
          <w:rFonts w:hint="eastAsia" w:ascii="宋体" w:hAnsi="宋体" w:cs="宋体"/>
          <w:sz w:val="24"/>
          <w:u w:val="single"/>
        </w:rPr>
        <w:t xml:space="preserve">    </w:t>
      </w:r>
    </w:p>
    <w:p>
      <w:pPr>
        <w:spacing w:line="360" w:lineRule="auto"/>
        <w:ind w:firstLine="480" w:firstLineChars="200"/>
        <w:rPr>
          <w:rFonts w:hint="eastAsia" w:ascii="宋体" w:hAnsi="宋体"/>
          <w:b w:val="0"/>
          <w:bCs w:val="0"/>
          <w:sz w:val="24"/>
          <w:szCs w:val="24"/>
          <w:lang w:val="en-US" w:eastAsia="zh-CN"/>
        </w:rPr>
      </w:pPr>
      <w:r>
        <w:rPr>
          <w:rFonts w:hint="eastAsia" w:ascii="宋体" w:hAnsi="宋体" w:cs="宋体"/>
          <w:sz w:val="24"/>
        </w:rPr>
        <w:t>电</w:t>
      </w:r>
      <w:r>
        <w:rPr>
          <w:rFonts w:ascii="宋体" w:hAnsi="宋体" w:cs="宋体"/>
          <w:sz w:val="24"/>
        </w:rPr>
        <w:t xml:space="preserve">    </w:t>
      </w:r>
      <w:r>
        <w:rPr>
          <w:rFonts w:hint="eastAsia" w:ascii="宋体" w:hAnsi="宋体" w:cs="宋体"/>
          <w:sz w:val="24"/>
        </w:rPr>
        <w:t>话</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lang w:val="en-US" w:eastAsia="zh-CN"/>
        </w:rPr>
        <w:t>0557-2219206</w:t>
      </w:r>
      <w:r>
        <w:rPr>
          <w:rFonts w:hint="eastAsia" w:ascii="宋体" w:hAnsi="宋体" w:cs="宋体"/>
          <w:sz w:val="24"/>
          <w:u w:val="single"/>
        </w:rPr>
        <w:t xml:space="preserve">      </w:t>
      </w:r>
      <w:r>
        <w:rPr>
          <w:rFonts w:ascii="宋体" w:hAnsi="宋体" w:cs="宋体"/>
          <w:sz w:val="24"/>
        </w:rPr>
        <w:t xml:space="preserve">   </w:t>
      </w:r>
    </w:p>
    <w:p>
      <w:pPr>
        <w:numPr>
          <w:ilvl w:val="0"/>
          <w:numId w:val="0"/>
        </w:numPr>
        <w:spacing w:line="400" w:lineRule="exact"/>
        <w:rPr>
          <w:rFonts w:hint="eastAsia"/>
          <w:lang w:val="en-US" w:eastAsia="zh-CN"/>
        </w:rPr>
      </w:pPr>
      <w:r>
        <w:rPr>
          <w:rFonts w:hint="eastAsia" w:ascii="宋体" w:hAnsi="宋体"/>
          <w:b w:val="0"/>
          <w:bCs w:val="0"/>
          <w:sz w:val="24"/>
          <w:szCs w:val="24"/>
          <w:lang w:val="en-US" w:eastAsia="zh-CN"/>
        </w:rPr>
        <w:t>七、投标保证金账户</w:t>
      </w:r>
    </w:p>
    <w:p>
      <w:pPr>
        <w:pStyle w:val="2"/>
        <w:numPr>
          <w:ilvl w:val="0"/>
          <w:numId w:val="0"/>
        </w:numPr>
        <w:ind w:firstLine="420" w:firstLineChars="200"/>
        <w:rPr>
          <w:rFonts w:hint="eastAsia"/>
          <w:lang w:val="en-US" w:eastAsia="zh-CN"/>
        </w:rPr>
      </w:pPr>
      <w:r>
        <w:rPr>
          <w:rFonts w:hint="eastAsia"/>
          <w:lang w:val="en-US" w:eastAsia="zh-CN"/>
        </w:rPr>
        <w:t>户名：安徽皖通高速公路股份有限公司</w:t>
      </w:r>
    </w:p>
    <w:p>
      <w:pPr>
        <w:pStyle w:val="2"/>
        <w:numPr>
          <w:ilvl w:val="0"/>
          <w:numId w:val="0"/>
        </w:numPr>
        <w:ind w:firstLine="420" w:firstLineChars="200"/>
        <w:rPr>
          <w:rFonts w:hint="eastAsia"/>
          <w:lang w:val="en-US" w:eastAsia="zh-CN"/>
        </w:rPr>
      </w:pPr>
      <w:r>
        <w:rPr>
          <w:rFonts w:hint="eastAsia"/>
          <w:lang w:val="en-US" w:eastAsia="zh-CN"/>
        </w:rPr>
        <w:t>开户行：徽商银行宿州萧县支行</w:t>
      </w:r>
    </w:p>
    <w:p>
      <w:pPr>
        <w:pStyle w:val="2"/>
        <w:numPr>
          <w:ilvl w:val="0"/>
          <w:numId w:val="0"/>
        </w:numPr>
        <w:ind w:firstLine="420" w:firstLineChars="200"/>
        <w:rPr>
          <w:rFonts w:hint="eastAsia"/>
          <w:lang w:val="en-US" w:eastAsia="zh-CN"/>
        </w:rPr>
      </w:pPr>
      <w:r>
        <w:rPr>
          <w:rFonts w:hint="eastAsia"/>
          <w:lang w:val="en-US" w:eastAsia="zh-CN"/>
        </w:rPr>
        <w:t>账号：2510 2010 2100 0319 582</w:t>
      </w:r>
    </w:p>
    <w:p>
      <w:pPr>
        <w:pStyle w:val="2"/>
      </w:pPr>
    </w:p>
    <w:p>
      <w:pPr>
        <w:spacing w:line="360" w:lineRule="auto"/>
        <w:ind w:right="860"/>
        <w:jc w:val="both"/>
        <w:rPr>
          <w:rFonts w:ascii="宋体" w:hAnsi="宋体" w:cs="宋体"/>
          <w:sz w:val="24"/>
        </w:rPr>
      </w:pPr>
    </w:p>
    <w:p>
      <w:pPr>
        <w:spacing w:line="360" w:lineRule="auto"/>
        <w:ind w:right="860"/>
        <w:jc w:val="right"/>
        <w:rPr>
          <w:rFonts w:ascii="宋体" w:hAnsi="宋体" w:cs="宋体"/>
          <w:sz w:val="24"/>
        </w:rPr>
      </w:pPr>
    </w:p>
    <w:p>
      <w:pPr>
        <w:spacing w:line="360" w:lineRule="auto"/>
        <w:ind w:right="860"/>
        <w:jc w:val="right"/>
        <w:rPr>
          <w:rFonts w:ascii="宋体" w:hAnsi="宋体"/>
          <w:sz w:val="24"/>
        </w:rPr>
      </w:pPr>
      <w:r>
        <w:rPr>
          <w:rFonts w:hint="eastAsia" w:ascii="宋体" w:hAnsi="宋体" w:cs="宋体"/>
          <w:sz w:val="24"/>
        </w:rPr>
        <w:t xml:space="preserve">                   </w:t>
      </w:r>
      <w:r>
        <w:rPr>
          <w:rFonts w:ascii="宋体" w:hAnsi="宋体" w:cs="宋体"/>
          <w:sz w:val="24"/>
        </w:rPr>
        <w:t>2019年</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w:t>
      </w:r>
    </w:p>
    <w:p>
      <w:pPr>
        <w:widowControl/>
        <w:spacing w:line="360" w:lineRule="auto"/>
        <w:jc w:val="left"/>
        <w:rPr>
          <w:rFonts w:ascii="黑体" w:eastAsia="黑体"/>
          <w:sz w:val="52"/>
          <w:szCs w:val="52"/>
        </w:rPr>
      </w:pPr>
      <w:r>
        <w:rPr>
          <w:rFonts w:ascii="黑体" w:eastAsia="黑体"/>
          <w:szCs w:val="21"/>
        </w:rPr>
        <w:br w:type="page"/>
      </w:r>
    </w:p>
    <w:p>
      <w:pPr>
        <w:pStyle w:val="2"/>
      </w:pPr>
      <w:bookmarkStart w:id="26" w:name="_Toc6414292"/>
    </w:p>
    <w:p>
      <w:pPr>
        <w:pStyle w:val="3"/>
        <w:rPr>
          <w:rFonts w:ascii="方正小标宋简体" w:hAnsi="黑体" w:eastAsia="方正小标宋简体" w:cs="黑体"/>
          <w:b w:val="0"/>
          <w:sz w:val="36"/>
          <w:szCs w:val="36"/>
        </w:rPr>
      </w:pPr>
      <w:bookmarkStart w:id="27" w:name="_Toc26772_WPSOffice_Level1"/>
      <w:r>
        <w:rPr>
          <w:rFonts w:hint="eastAsia" w:ascii="方正小标宋简体" w:hAnsi="黑体" w:eastAsia="方正小标宋简体" w:cs="黑体"/>
          <w:b w:val="0"/>
          <w:sz w:val="36"/>
          <w:szCs w:val="36"/>
        </w:rPr>
        <w:t>第二章 报价人须知</w:t>
      </w:r>
      <w:bookmarkEnd w:id="26"/>
      <w:bookmarkEnd w:id="27"/>
    </w:p>
    <w:p>
      <w:pPr>
        <w:spacing w:line="360" w:lineRule="auto"/>
        <w:rPr>
          <w:rFonts w:ascii="宋体" w:hAnsi="宋体" w:cs="宋体"/>
        </w:rPr>
      </w:pPr>
      <w:bookmarkStart w:id="28" w:name="_Toc325031084"/>
      <w:bookmarkStart w:id="29" w:name="_Toc295469074"/>
      <w:bookmarkStart w:id="30" w:name="_Toc320862279"/>
      <w:bookmarkStart w:id="31" w:name="_Toc276713975"/>
      <w:bookmarkStart w:id="32" w:name="_Toc289070817"/>
      <w:bookmarkStart w:id="33" w:name="_Toc305055082"/>
      <w:r>
        <w:rPr>
          <w:rFonts w:hint="eastAsia" w:ascii="宋体" w:hAnsi="宋体" w:cs="宋体"/>
        </w:rPr>
        <w:t>说明：</w:t>
      </w:r>
      <w:bookmarkEnd w:id="28"/>
      <w:bookmarkEnd w:id="29"/>
      <w:bookmarkEnd w:id="30"/>
      <w:bookmarkEnd w:id="31"/>
      <w:bookmarkEnd w:id="32"/>
      <w:bookmarkEnd w:id="33"/>
    </w:p>
    <w:p>
      <w:pPr>
        <w:spacing w:line="360" w:lineRule="auto"/>
        <w:ind w:firstLine="420" w:firstLineChars="200"/>
        <w:rPr>
          <w:rFonts w:ascii="宋体" w:hAnsi="宋体" w:cs="宋体"/>
        </w:rPr>
      </w:pPr>
      <w:bookmarkStart w:id="34" w:name="_Toc325031085"/>
      <w:bookmarkStart w:id="35" w:name="_Toc295469075"/>
      <w:bookmarkStart w:id="36" w:name="_Toc320862280"/>
      <w:bookmarkStart w:id="37" w:name="_Toc276713976"/>
      <w:bookmarkStart w:id="38" w:name="_Toc305055083"/>
      <w:bookmarkStart w:id="39" w:name="_Toc289070818"/>
      <w:r>
        <w:rPr>
          <w:rFonts w:hint="eastAsia" w:ascii="宋体" w:hAnsi="宋体" w:cs="宋体"/>
        </w:rPr>
        <w:t>一、本章“报价人须知”引用了中华人民共和国交通运输部颁发的《公路工程标准施工招标文件》（2018年版）中的“报价人须知”正文。</w:t>
      </w:r>
      <w:bookmarkEnd w:id="34"/>
      <w:bookmarkEnd w:id="35"/>
      <w:bookmarkEnd w:id="36"/>
      <w:bookmarkEnd w:id="37"/>
      <w:bookmarkEnd w:id="38"/>
      <w:bookmarkEnd w:id="39"/>
    </w:p>
    <w:p>
      <w:pPr>
        <w:spacing w:line="360" w:lineRule="auto"/>
        <w:ind w:firstLine="420" w:firstLineChars="200"/>
      </w:pPr>
      <w:bookmarkStart w:id="40" w:name="_Toc295469076"/>
      <w:bookmarkStart w:id="41" w:name="_Toc320862281"/>
      <w:bookmarkStart w:id="42" w:name="_Toc305055084"/>
      <w:bookmarkStart w:id="43" w:name="_Toc276713977"/>
      <w:bookmarkStart w:id="44" w:name="_Toc325031086"/>
      <w:bookmarkStart w:id="45" w:name="_Toc289070819"/>
      <w:r>
        <w:rPr>
          <w:rFonts w:hint="eastAsia" w:ascii="宋体" w:hAnsi="宋体" w:cs="宋体"/>
        </w:rPr>
        <w:t>二、“报价人须知前附表”是对“报价人须知”正文中的未尽事宜进一步明确和细化、补充，“报价人须知前附表”中的附录表格同属“报价人须知前附表”内容，具有相同效力。</w:t>
      </w:r>
      <w:bookmarkEnd w:id="40"/>
      <w:bookmarkEnd w:id="41"/>
      <w:bookmarkEnd w:id="42"/>
      <w:bookmarkEnd w:id="43"/>
      <w:bookmarkEnd w:id="44"/>
      <w:bookmarkEnd w:id="45"/>
    </w:p>
    <w:p>
      <w:pPr>
        <w:widowControl/>
        <w:spacing w:line="360" w:lineRule="auto"/>
        <w:jc w:val="left"/>
        <w:rPr>
          <w:szCs w:val="21"/>
        </w:rPr>
      </w:pPr>
      <w:bookmarkStart w:id="46" w:name="_Toc510603968"/>
      <w:r>
        <w:rPr>
          <w:szCs w:val="21"/>
        </w:rPr>
        <w:br w:type="page"/>
      </w:r>
    </w:p>
    <w:p>
      <w:pPr>
        <w:rPr>
          <w:rFonts w:ascii="黑体" w:hAnsi="黑体" w:cs="黑体"/>
          <w:sz w:val="28"/>
          <w:szCs w:val="28"/>
        </w:rPr>
      </w:pPr>
      <w:r>
        <w:rPr>
          <w:rFonts w:hint="eastAsia" w:ascii="黑体" w:hAnsi="黑体" w:cs="黑体"/>
          <w:sz w:val="28"/>
          <w:szCs w:val="28"/>
        </w:rPr>
        <w:t>报价人须知前附表</w:t>
      </w:r>
      <w:bookmarkEnd w:id="46"/>
      <w:r>
        <w:rPr>
          <w:rFonts w:hint="eastAsia" w:ascii="黑体" w:hAnsi="黑体" w:cs="黑体"/>
          <w:sz w:val="28"/>
          <w:szCs w:val="28"/>
        </w:rPr>
        <w:t>报价人须知前附表</w:t>
      </w:r>
    </w:p>
    <w:tbl>
      <w:tblPr>
        <w:tblStyle w:val="52"/>
        <w:tblW w:w="90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2872"/>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61" w:type="dxa"/>
            <w:vAlign w:val="center"/>
          </w:tcPr>
          <w:p>
            <w:pPr>
              <w:spacing w:line="400" w:lineRule="atLeast"/>
              <w:jc w:val="center"/>
              <w:rPr>
                <w:rFonts w:ascii="宋体" w:hAnsi="宋体" w:cs="宋体"/>
                <w:b/>
                <w:szCs w:val="21"/>
              </w:rPr>
            </w:pPr>
            <w:r>
              <w:rPr>
                <w:rFonts w:hint="eastAsia" w:ascii="宋体" w:hAnsi="宋体" w:cs="宋体"/>
                <w:b/>
                <w:szCs w:val="21"/>
              </w:rPr>
              <w:t>条款号</w:t>
            </w:r>
          </w:p>
        </w:tc>
        <w:tc>
          <w:tcPr>
            <w:tcW w:w="2872" w:type="dxa"/>
            <w:vAlign w:val="center"/>
          </w:tcPr>
          <w:p>
            <w:pPr>
              <w:spacing w:line="400" w:lineRule="atLeast"/>
              <w:jc w:val="center"/>
              <w:rPr>
                <w:rFonts w:ascii="宋体" w:hAnsi="宋体" w:cs="宋体"/>
                <w:b/>
                <w:szCs w:val="21"/>
              </w:rPr>
            </w:pPr>
            <w:r>
              <w:rPr>
                <w:rFonts w:hint="eastAsia" w:ascii="宋体" w:hAnsi="宋体" w:cs="宋体"/>
                <w:b/>
                <w:szCs w:val="21"/>
              </w:rPr>
              <w:t>条  款  名  称</w:t>
            </w:r>
          </w:p>
        </w:tc>
        <w:tc>
          <w:tcPr>
            <w:tcW w:w="4994" w:type="dxa"/>
            <w:vAlign w:val="center"/>
          </w:tcPr>
          <w:p>
            <w:pPr>
              <w:spacing w:line="400" w:lineRule="atLeast"/>
              <w:jc w:val="center"/>
              <w:rPr>
                <w:rFonts w:ascii="宋体" w:hAnsi="宋体" w:cs="宋体"/>
                <w:b/>
                <w:szCs w:val="21"/>
              </w:rPr>
            </w:pPr>
            <w:r>
              <w:rPr>
                <w:rFonts w:hint="eastAsia" w:ascii="宋体" w:hAnsi="宋体" w:cs="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1161" w:type="dxa"/>
            <w:vAlign w:val="center"/>
          </w:tcPr>
          <w:p>
            <w:pPr>
              <w:spacing w:line="400" w:lineRule="atLeast"/>
              <w:jc w:val="center"/>
              <w:rPr>
                <w:rFonts w:ascii="宋体" w:hAnsi="宋体" w:cs="宋体"/>
                <w:szCs w:val="21"/>
              </w:rPr>
            </w:pPr>
            <w:r>
              <w:rPr>
                <w:rFonts w:hint="eastAsia" w:ascii="宋体" w:hAnsi="宋体" w:cs="宋体"/>
                <w:szCs w:val="21"/>
              </w:rPr>
              <w:t>1.1.2</w:t>
            </w:r>
          </w:p>
        </w:tc>
        <w:tc>
          <w:tcPr>
            <w:tcW w:w="2872" w:type="dxa"/>
            <w:vAlign w:val="center"/>
          </w:tcPr>
          <w:p>
            <w:pPr>
              <w:spacing w:line="400" w:lineRule="atLeast"/>
              <w:jc w:val="center"/>
              <w:rPr>
                <w:rFonts w:ascii="宋体" w:hAnsi="宋体" w:cs="宋体"/>
                <w:szCs w:val="21"/>
              </w:rPr>
            </w:pPr>
            <w:r>
              <w:rPr>
                <w:rFonts w:hint="eastAsia" w:ascii="宋体" w:hAnsi="宋体" w:cs="宋体"/>
                <w:szCs w:val="21"/>
              </w:rPr>
              <w:t>询价人</w:t>
            </w:r>
          </w:p>
        </w:tc>
        <w:tc>
          <w:tcPr>
            <w:tcW w:w="4994" w:type="dxa"/>
            <w:vAlign w:val="center"/>
          </w:tcPr>
          <w:p>
            <w:pPr>
              <w:spacing w:line="300" w:lineRule="exact"/>
              <w:rPr>
                <w:rFonts w:ascii="宋体" w:hAnsi="宋体" w:cs="宋体"/>
                <w:szCs w:val="21"/>
              </w:rPr>
            </w:pPr>
            <w:r>
              <w:rPr>
                <w:rFonts w:hint="eastAsia" w:ascii="宋体" w:hAnsi="宋体" w:cs="宋体"/>
                <w:szCs w:val="21"/>
              </w:rPr>
              <w:t>询价人名称：安徽省交通控股集团</w:t>
            </w:r>
            <w:r>
              <w:rPr>
                <w:rFonts w:hint="eastAsia" w:ascii="宋体" w:hAnsi="宋体" w:cs="宋体"/>
                <w:szCs w:val="21"/>
                <w:lang w:eastAsia="zh-CN"/>
              </w:rPr>
              <w:t>有限公司萧县</w:t>
            </w:r>
            <w:r>
              <w:rPr>
                <w:rFonts w:hint="eastAsia" w:ascii="宋体" w:hAnsi="宋体" w:cs="宋体"/>
                <w:szCs w:val="21"/>
              </w:rPr>
              <w:t xml:space="preserve">管理处            </w:t>
            </w:r>
          </w:p>
          <w:p>
            <w:pPr>
              <w:spacing w:line="300" w:lineRule="exact"/>
              <w:rPr>
                <w:rFonts w:hint="eastAsia" w:ascii="宋体" w:hAnsi="宋体" w:cs="宋体"/>
                <w:szCs w:val="21"/>
                <w:lang w:eastAsia="zh-CN"/>
              </w:rPr>
            </w:pPr>
            <w:r>
              <w:rPr>
                <w:rFonts w:hint="eastAsia" w:ascii="宋体" w:hAnsi="宋体" w:cs="宋体"/>
                <w:szCs w:val="21"/>
              </w:rPr>
              <w:t>地址：安徽省</w:t>
            </w:r>
            <w:r>
              <w:rPr>
                <w:rFonts w:hint="eastAsia" w:ascii="宋体" w:hAnsi="宋体" w:cs="宋体"/>
                <w:szCs w:val="21"/>
                <w:lang w:eastAsia="zh-CN"/>
              </w:rPr>
              <w:t>宿州市萧县连霍高速公路萧县东出口处</w:t>
            </w:r>
          </w:p>
          <w:p>
            <w:pPr>
              <w:spacing w:line="300" w:lineRule="exact"/>
              <w:rPr>
                <w:rFonts w:ascii="宋体" w:hAnsi="宋体" w:cs="宋体"/>
                <w:color w:val="FF0000"/>
                <w:szCs w:val="21"/>
              </w:rPr>
            </w:pPr>
            <w:r>
              <w:rPr>
                <w:rFonts w:hint="eastAsia" w:ascii="宋体" w:hAnsi="宋体" w:cs="宋体"/>
                <w:color w:val="000000" w:themeColor="text1"/>
                <w:szCs w:val="21"/>
              </w:rPr>
              <w:t>电话：</w:t>
            </w:r>
            <w:r>
              <w:rPr>
                <w:rFonts w:hint="eastAsia" w:ascii="宋体" w:hAnsi="宋体" w:cs="宋体"/>
                <w:color w:val="000000" w:themeColor="text1"/>
                <w:szCs w:val="21"/>
                <w:lang w:val="en-US" w:eastAsia="zh-CN"/>
              </w:rPr>
              <w:t>0557-2219206-307302</w:t>
            </w:r>
            <w:r>
              <w:rPr>
                <w:rFonts w:hint="eastAsia" w:ascii="宋体" w:hAnsi="宋体" w:cs="宋体"/>
                <w:color w:val="000000" w:themeColor="text1"/>
                <w:szCs w:val="21"/>
              </w:rPr>
              <w:t>联系人：</w:t>
            </w:r>
            <w:r>
              <w:rPr>
                <w:rFonts w:hint="eastAsia" w:ascii="宋体" w:hAnsi="宋体" w:cs="宋体"/>
                <w:color w:val="000000" w:themeColor="text1"/>
                <w:szCs w:val="21"/>
                <w:lang w:eastAsia="zh-CN"/>
              </w:rPr>
              <w:t>代</w:t>
            </w:r>
            <w:r>
              <w:rPr>
                <w:rFonts w:hint="eastAsia" w:ascii="宋体" w:hAnsi="宋体" w:cs="宋体"/>
                <w:color w:val="000000" w:themeColor="text1"/>
                <w:szCs w:val="21"/>
              </w:rPr>
              <w:t>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161" w:type="dxa"/>
            <w:vAlign w:val="center"/>
          </w:tcPr>
          <w:p>
            <w:pPr>
              <w:spacing w:line="400" w:lineRule="atLeast"/>
              <w:jc w:val="center"/>
              <w:rPr>
                <w:rFonts w:ascii="宋体" w:hAnsi="宋体" w:cs="宋体"/>
                <w:szCs w:val="21"/>
              </w:rPr>
            </w:pPr>
            <w:r>
              <w:rPr>
                <w:rFonts w:hint="eastAsia" w:ascii="宋体" w:hAnsi="宋体" w:cs="宋体"/>
                <w:szCs w:val="21"/>
              </w:rPr>
              <w:t>1.1.4</w:t>
            </w:r>
          </w:p>
        </w:tc>
        <w:tc>
          <w:tcPr>
            <w:tcW w:w="2872" w:type="dxa"/>
            <w:vAlign w:val="center"/>
          </w:tcPr>
          <w:p>
            <w:pPr>
              <w:spacing w:line="400" w:lineRule="atLeast"/>
              <w:jc w:val="center"/>
              <w:rPr>
                <w:rFonts w:ascii="宋体" w:hAnsi="宋体" w:cs="宋体"/>
                <w:szCs w:val="21"/>
              </w:rPr>
            </w:pPr>
            <w:r>
              <w:rPr>
                <w:rFonts w:hint="eastAsia" w:ascii="宋体" w:hAnsi="宋体" w:cs="宋体"/>
                <w:szCs w:val="21"/>
              </w:rPr>
              <w:t>询价项目名称</w:t>
            </w:r>
          </w:p>
        </w:tc>
        <w:tc>
          <w:tcPr>
            <w:tcW w:w="4994" w:type="dxa"/>
            <w:vAlign w:val="center"/>
          </w:tcPr>
          <w:p>
            <w:pPr>
              <w:spacing w:line="400" w:lineRule="atLeast"/>
              <w:rPr>
                <w:rFonts w:ascii="宋体" w:hAnsi="宋体" w:cs="宋体"/>
                <w:szCs w:val="21"/>
              </w:rPr>
            </w:pPr>
            <w:r>
              <w:rPr>
                <w:rFonts w:hint="eastAsia" w:ascii="宋体" w:hAnsi="宋体" w:cs="宋体"/>
                <w:szCs w:val="21"/>
                <w:lang w:eastAsia="zh-CN"/>
              </w:rPr>
              <w:t>萧县</w:t>
            </w:r>
            <w:r>
              <w:rPr>
                <w:rFonts w:hint="eastAsia" w:ascii="宋体" w:hAnsi="宋体" w:cs="宋体"/>
                <w:szCs w:val="21"/>
              </w:rPr>
              <w:t>管理处</w:t>
            </w:r>
            <w:r>
              <w:rPr>
                <w:rFonts w:hint="eastAsia" w:ascii="宋体" w:hAnsi="宋体" w:cs="宋体"/>
                <w:szCs w:val="21"/>
                <w:lang w:eastAsia="zh-CN"/>
              </w:rPr>
              <w:t>皖鲁、砀永</w:t>
            </w:r>
            <w:r>
              <w:rPr>
                <w:rFonts w:hint="eastAsia" w:ascii="宋体" w:hAnsi="宋体" w:cs="宋体"/>
                <w:szCs w:val="21"/>
              </w:rPr>
              <w:t>收费站收费大棚拆除工程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Align w:val="center"/>
          </w:tcPr>
          <w:p>
            <w:pPr>
              <w:spacing w:line="400" w:lineRule="atLeast"/>
              <w:jc w:val="center"/>
              <w:rPr>
                <w:rFonts w:ascii="宋体" w:hAnsi="宋体" w:cs="宋体"/>
                <w:szCs w:val="21"/>
              </w:rPr>
            </w:pPr>
            <w:r>
              <w:rPr>
                <w:rFonts w:hint="eastAsia" w:ascii="宋体" w:hAnsi="宋体" w:cs="宋体"/>
                <w:szCs w:val="21"/>
              </w:rPr>
              <w:t>1.1.5</w:t>
            </w:r>
          </w:p>
        </w:tc>
        <w:tc>
          <w:tcPr>
            <w:tcW w:w="2872" w:type="dxa"/>
            <w:vAlign w:val="center"/>
          </w:tcPr>
          <w:p>
            <w:pPr>
              <w:spacing w:line="400" w:lineRule="atLeast"/>
              <w:jc w:val="center"/>
              <w:rPr>
                <w:rFonts w:ascii="宋体" w:hAnsi="宋体" w:cs="宋体"/>
                <w:szCs w:val="21"/>
              </w:rPr>
            </w:pPr>
            <w:r>
              <w:rPr>
                <w:rFonts w:hint="eastAsia" w:ascii="宋体" w:hAnsi="宋体" w:cs="宋体"/>
                <w:szCs w:val="21"/>
              </w:rPr>
              <w:t>标段建设地点</w:t>
            </w:r>
          </w:p>
        </w:tc>
        <w:tc>
          <w:tcPr>
            <w:tcW w:w="4994" w:type="dxa"/>
            <w:vAlign w:val="center"/>
          </w:tcPr>
          <w:p>
            <w:pPr>
              <w:spacing w:line="400" w:lineRule="atLeast"/>
              <w:rPr>
                <w:rFonts w:hint="eastAsia" w:ascii="宋体" w:hAnsi="宋体" w:eastAsia="宋体" w:cs="宋体"/>
                <w:szCs w:val="21"/>
                <w:u w:val="single"/>
                <w:lang w:eastAsia="zh-CN"/>
              </w:rPr>
            </w:pPr>
            <w:r>
              <w:rPr>
                <w:rFonts w:hint="eastAsia" w:ascii="宋体" w:hAnsi="宋体" w:cs="宋体"/>
                <w:szCs w:val="21"/>
                <w:u w:val="single"/>
                <w:lang w:eastAsia="zh-CN"/>
              </w:rPr>
              <w:t>宿州市砀山县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Align w:val="center"/>
          </w:tcPr>
          <w:p>
            <w:pPr>
              <w:spacing w:line="400" w:lineRule="atLeast"/>
              <w:jc w:val="center"/>
              <w:rPr>
                <w:rFonts w:ascii="宋体" w:hAnsi="宋体" w:cs="宋体"/>
                <w:szCs w:val="21"/>
              </w:rPr>
            </w:pPr>
            <w:r>
              <w:rPr>
                <w:rFonts w:hint="eastAsia" w:ascii="宋体" w:hAnsi="宋体" w:cs="宋体"/>
                <w:szCs w:val="21"/>
              </w:rPr>
              <w:t>1.2.1</w:t>
            </w:r>
          </w:p>
        </w:tc>
        <w:tc>
          <w:tcPr>
            <w:tcW w:w="2872" w:type="dxa"/>
            <w:vAlign w:val="center"/>
          </w:tcPr>
          <w:p>
            <w:pPr>
              <w:spacing w:line="276" w:lineRule="auto"/>
              <w:jc w:val="center"/>
              <w:rPr>
                <w:rFonts w:ascii="宋体" w:hAnsi="宋体" w:cs="宋体"/>
                <w:szCs w:val="21"/>
              </w:rPr>
            </w:pPr>
            <w:r>
              <w:rPr>
                <w:rFonts w:hint="eastAsia" w:ascii="宋体" w:hAnsi="宋体" w:cs="宋体"/>
                <w:szCs w:val="21"/>
              </w:rPr>
              <w:t>资金来源及比例</w:t>
            </w:r>
          </w:p>
        </w:tc>
        <w:tc>
          <w:tcPr>
            <w:tcW w:w="4994" w:type="dxa"/>
            <w:vAlign w:val="center"/>
          </w:tcPr>
          <w:p>
            <w:pPr>
              <w:spacing w:line="400" w:lineRule="atLeast"/>
              <w:rPr>
                <w:rFonts w:ascii="宋体" w:hAnsi="宋体" w:cs="宋体"/>
                <w:szCs w:val="21"/>
              </w:rPr>
            </w:pPr>
            <w:r>
              <w:rPr>
                <w:rFonts w:hint="eastAsia" w:ascii="宋体" w:hAnsi="宋体" w:cs="宋体"/>
                <w:szCs w:val="21"/>
              </w:rPr>
              <w:t>全部业主自筹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Align w:val="center"/>
          </w:tcPr>
          <w:p>
            <w:pPr>
              <w:spacing w:line="276" w:lineRule="auto"/>
              <w:jc w:val="center"/>
              <w:rPr>
                <w:rFonts w:ascii="宋体" w:hAnsi="宋体" w:cs="宋体"/>
                <w:szCs w:val="21"/>
              </w:rPr>
            </w:pPr>
            <w:r>
              <w:rPr>
                <w:rFonts w:hint="eastAsia" w:ascii="宋体" w:hAnsi="宋体" w:cs="宋体"/>
                <w:szCs w:val="21"/>
              </w:rPr>
              <w:t>1.2.2</w:t>
            </w:r>
          </w:p>
        </w:tc>
        <w:tc>
          <w:tcPr>
            <w:tcW w:w="2872" w:type="dxa"/>
            <w:vAlign w:val="center"/>
          </w:tcPr>
          <w:p>
            <w:pPr>
              <w:spacing w:line="276" w:lineRule="auto"/>
              <w:jc w:val="center"/>
              <w:rPr>
                <w:rFonts w:ascii="宋体" w:hAnsi="宋体" w:cs="宋体"/>
                <w:szCs w:val="21"/>
              </w:rPr>
            </w:pPr>
            <w:r>
              <w:rPr>
                <w:rFonts w:hint="eastAsia" w:ascii="宋体" w:hAnsi="宋体" w:cs="宋体"/>
                <w:szCs w:val="21"/>
              </w:rPr>
              <w:t>资金落实情况</w:t>
            </w:r>
          </w:p>
        </w:tc>
        <w:tc>
          <w:tcPr>
            <w:tcW w:w="4994" w:type="dxa"/>
            <w:vAlign w:val="center"/>
          </w:tcPr>
          <w:p>
            <w:pPr>
              <w:spacing w:line="276" w:lineRule="auto"/>
              <w:rPr>
                <w:rFonts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161" w:type="dxa"/>
            <w:vAlign w:val="center"/>
          </w:tcPr>
          <w:p>
            <w:pPr>
              <w:spacing w:line="276" w:lineRule="auto"/>
              <w:jc w:val="center"/>
              <w:rPr>
                <w:rFonts w:ascii="宋体" w:hAnsi="宋体" w:cs="宋体"/>
                <w:szCs w:val="21"/>
              </w:rPr>
            </w:pPr>
            <w:r>
              <w:rPr>
                <w:rFonts w:hint="eastAsia" w:ascii="宋体" w:hAnsi="宋体" w:cs="宋体"/>
                <w:szCs w:val="21"/>
              </w:rPr>
              <w:t>1.3.1</w:t>
            </w:r>
          </w:p>
        </w:tc>
        <w:tc>
          <w:tcPr>
            <w:tcW w:w="2872" w:type="dxa"/>
            <w:vAlign w:val="center"/>
          </w:tcPr>
          <w:p>
            <w:pPr>
              <w:spacing w:line="276" w:lineRule="auto"/>
              <w:jc w:val="center"/>
              <w:rPr>
                <w:rFonts w:ascii="宋体" w:hAnsi="宋体" w:cs="宋体"/>
                <w:szCs w:val="21"/>
              </w:rPr>
            </w:pPr>
            <w:r>
              <w:rPr>
                <w:rFonts w:hint="eastAsia" w:ascii="宋体" w:hAnsi="宋体" w:cs="宋体"/>
                <w:szCs w:val="21"/>
              </w:rPr>
              <w:t>询价范围</w:t>
            </w:r>
          </w:p>
        </w:tc>
        <w:tc>
          <w:tcPr>
            <w:tcW w:w="4994" w:type="dxa"/>
            <w:vAlign w:val="center"/>
          </w:tcPr>
          <w:p>
            <w:pPr>
              <w:spacing w:line="276" w:lineRule="auto"/>
              <w:rPr>
                <w:rFonts w:ascii="宋体" w:hAnsi="宋体" w:cs="宋体"/>
                <w:szCs w:val="21"/>
              </w:rPr>
            </w:pPr>
            <w:r>
              <w:rPr>
                <w:rFonts w:hint="eastAsia" w:ascii="宋体" w:hAnsi="宋体" w:cs="宋体"/>
                <w:sz w:val="24"/>
              </w:rPr>
              <w:t>收费站大棚拆除工程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161" w:type="dxa"/>
            <w:vAlign w:val="center"/>
          </w:tcPr>
          <w:p>
            <w:pPr>
              <w:spacing w:line="400" w:lineRule="atLeast"/>
              <w:jc w:val="center"/>
              <w:rPr>
                <w:rFonts w:ascii="宋体" w:hAnsi="宋体" w:cs="宋体"/>
                <w:szCs w:val="21"/>
              </w:rPr>
            </w:pPr>
            <w:r>
              <w:rPr>
                <w:rFonts w:hint="eastAsia" w:ascii="宋体" w:hAnsi="宋体" w:cs="宋体"/>
                <w:szCs w:val="21"/>
              </w:rPr>
              <w:t>1.3.2</w:t>
            </w:r>
          </w:p>
        </w:tc>
        <w:tc>
          <w:tcPr>
            <w:tcW w:w="2872" w:type="dxa"/>
            <w:vAlign w:val="center"/>
          </w:tcPr>
          <w:p>
            <w:pPr>
              <w:spacing w:line="400" w:lineRule="atLeast"/>
              <w:jc w:val="center"/>
              <w:rPr>
                <w:rFonts w:ascii="宋体" w:hAnsi="宋体" w:cs="宋体"/>
                <w:szCs w:val="21"/>
              </w:rPr>
            </w:pPr>
            <w:r>
              <w:rPr>
                <w:rFonts w:hint="eastAsia" w:ascii="宋体" w:hAnsi="宋体" w:cs="宋体"/>
                <w:szCs w:val="21"/>
              </w:rPr>
              <w:t>计划工期</w:t>
            </w:r>
          </w:p>
        </w:tc>
        <w:tc>
          <w:tcPr>
            <w:tcW w:w="4994" w:type="dxa"/>
            <w:vAlign w:val="center"/>
          </w:tcPr>
          <w:p>
            <w:pPr>
              <w:spacing w:line="400" w:lineRule="atLeast"/>
              <w:rPr>
                <w:rFonts w:ascii="宋体" w:hAnsi="宋体" w:cs="宋体"/>
                <w:szCs w:val="21"/>
              </w:rPr>
            </w:pPr>
            <w:r>
              <w:rPr>
                <w:rFonts w:hint="eastAsia" w:ascii="宋体" w:hAnsi="宋体" w:cs="宋体"/>
                <w:szCs w:val="21"/>
              </w:rPr>
              <w:t>计划工期：</w:t>
            </w:r>
            <w:r>
              <w:rPr>
                <w:rFonts w:hint="eastAsia" w:ascii="宋体" w:hAnsi="宋体" w:cs="宋体"/>
                <w:sz w:val="24"/>
              </w:rPr>
              <w:t>工程分为两期，第</w:t>
            </w:r>
            <w:r>
              <w:rPr>
                <w:rFonts w:hint="eastAsia" w:ascii="宋体" w:hAnsi="宋体" w:cs="宋体"/>
                <w:sz w:val="24"/>
                <w:highlight w:val="none"/>
              </w:rPr>
              <w:t>一期</w:t>
            </w:r>
            <w:r>
              <w:rPr>
                <w:rFonts w:hint="eastAsia"/>
                <w:sz w:val="24"/>
                <w:highlight w:val="none"/>
              </w:rPr>
              <w:t>计划工期为</w:t>
            </w:r>
            <w:r>
              <w:rPr>
                <w:sz w:val="24"/>
                <w:highlight w:val="none"/>
              </w:rPr>
              <w:t>2019</w:t>
            </w:r>
            <w:r>
              <w:rPr>
                <w:rFonts w:hint="eastAsia"/>
                <w:sz w:val="24"/>
                <w:highlight w:val="none"/>
              </w:rPr>
              <w:t>年9月。第二期计</w:t>
            </w:r>
            <w:r>
              <w:rPr>
                <w:rFonts w:hint="eastAsia"/>
                <w:sz w:val="24"/>
              </w:rPr>
              <w:t>划工期为2020年1月至3月。</w:t>
            </w:r>
            <w:r>
              <w:rPr>
                <w:rFonts w:hint="eastAsia" w:ascii="宋体" w:hAnsi="宋体" w:cs="宋体"/>
                <w:sz w:val="24"/>
              </w:rPr>
              <w:t>具体开工日期以合同为准。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161" w:type="dxa"/>
            <w:vAlign w:val="center"/>
          </w:tcPr>
          <w:p>
            <w:pPr>
              <w:spacing w:line="400" w:lineRule="atLeast"/>
              <w:jc w:val="center"/>
              <w:rPr>
                <w:rFonts w:ascii="宋体" w:hAnsi="宋体" w:cs="宋体"/>
                <w:szCs w:val="21"/>
              </w:rPr>
            </w:pPr>
            <w:r>
              <w:rPr>
                <w:rFonts w:hint="eastAsia" w:ascii="宋体" w:hAnsi="宋体" w:cs="宋体"/>
                <w:szCs w:val="21"/>
              </w:rPr>
              <w:t>1.3.3</w:t>
            </w:r>
          </w:p>
        </w:tc>
        <w:tc>
          <w:tcPr>
            <w:tcW w:w="2872" w:type="dxa"/>
            <w:vAlign w:val="center"/>
          </w:tcPr>
          <w:p>
            <w:pPr>
              <w:spacing w:line="400" w:lineRule="atLeast"/>
              <w:jc w:val="center"/>
              <w:rPr>
                <w:rFonts w:ascii="宋体" w:hAnsi="宋体" w:cs="宋体"/>
                <w:szCs w:val="21"/>
              </w:rPr>
            </w:pPr>
            <w:r>
              <w:rPr>
                <w:rFonts w:hint="eastAsia" w:ascii="宋体" w:hAnsi="宋体" w:cs="宋体"/>
                <w:szCs w:val="21"/>
              </w:rPr>
              <w:t>质量要求</w:t>
            </w:r>
          </w:p>
        </w:tc>
        <w:tc>
          <w:tcPr>
            <w:tcW w:w="4994" w:type="dxa"/>
            <w:vAlign w:val="center"/>
          </w:tcPr>
          <w:p>
            <w:pPr>
              <w:spacing w:line="400" w:lineRule="atLeast"/>
              <w:rPr>
                <w:rFonts w:ascii="宋体" w:hAnsi="宋体" w:cs="宋体"/>
                <w:szCs w:val="21"/>
              </w:rPr>
            </w:pPr>
            <w:r>
              <w:rPr>
                <w:rFonts w:hint="eastAsia" w:ascii="宋体" w:hAnsi="宋体" w:cs="宋体"/>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161" w:type="dxa"/>
            <w:vAlign w:val="center"/>
          </w:tcPr>
          <w:p>
            <w:pPr>
              <w:spacing w:line="400" w:lineRule="atLeast"/>
              <w:jc w:val="center"/>
              <w:rPr>
                <w:rFonts w:ascii="宋体" w:hAnsi="宋体" w:cs="宋体"/>
                <w:szCs w:val="21"/>
              </w:rPr>
            </w:pPr>
            <w:r>
              <w:rPr>
                <w:rFonts w:hint="eastAsia" w:ascii="宋体" w:hAnsi="宋体" w:cs="宋体"/>
                <w:szCs w:val="21"/>
              </w:rPr>
              <w:t>1.3.4</w:t>
            </w:r>
          </w:p>
        </w:tc>
        <w:tc>
          <w:tcPr>
            <w:tcW w:w="2872" w:type="dxa"/>
            <w:vAlign w:val="center"/>
          </w:tcPr>
          <w:p>
            <w:pPr>
              <w:spacing w:line="400" w:lineRule="atLeast"/>
              <w:jc w:val="center"/>
              <w:rPr>
                <w:rFonts w:ascii="宋体" w:hAnsi="宋体" w:cs="宋体"/>
                <w:szCs w:val="21"/>
              </w:rPr>
            </w:pPr>
            <w:r>
              <w:rPr>
                <w:rFonts w:hint="eastAsia" w:ascii="宋体" w:hAnsi="宋体" w:cs="宋体"/>
                <w:szCs w:val="21"/>
              </w:rPr>
              <w:t>安全目标</w:t>
            </w:r>
          </w:p>
        </w:tc>
        <w:tc>
          <w:tcPr>
            <w:tcW w:w="4994" w:type="dxa"/>
            <w:vAlign w:val="center"/>
          </w:tcPr>
          <w:p>
            <w:pPr>
              <w:spacing w:line="400" w:lineRule="atLeast"/>
              <w:rPr>
                <w:rFonts w:ascii="宋体" w:hAnsi="宋体" w:cs="宋体"/>
                <w:szCs w:val="21"/>
              </w:rPr>
            </w:pPr>
            <w:r>
              <w:rPr>
                <w:rFonts w:hint="eastAsia" w:ascii="宋体" w:hAnsi="宋体" w:cs="宋体"/>
                <w:szCs w:val="21"/>
              </w:rPr>
              <w:t>无安全责任事故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61" w:type="dxa"/>
            <w:vAlign w:val="center"/>
          </w:tcPr>
          <w:p>
            <w:pPr>
              <w:spacing w:line="400" w:lineRule="atLeast"/>
              <w:jc w:val="center"/>
              <w:rPr>
                <w:rFonts w:ascii="宋体" w:hAnsi="宋体" w:cs="宋体"/>
                <w:szCs w:val="21"/>
              </w:rPr>
            </w:pPr>
            <w:r>
              <w:rPr>
                <w:rFonts w:hint="eastAsia" w:ascii="宋体" w:hAnsi="宋体" w:cs="宋体"/>
                <w:szCs w:val="21"/>
              </w:rPr>
              <w:t>1.3.5</w:t>
            </w:r>
          </w:p>
        </w:tc>
        <w:tc>
          <w:tcPr>
            <w:tcW w:w="2872" w:type="dxa"/>
            <w:vAlign w:val="center"/>
          </w:tcPr>
          <w:p>
            <w:pPr>
              <w:spacing w:line="400" w:lineRule="atLeast"/>
              <w:jc w:val="center"/>
              <w:rPr>
                <w:rFonts w:ascii="宋体" w:hAnsi="宋体" w:cs="宋体"/>
                <w:szCs w:val="21"/>
              </w:rPr>
            </w:pPr>
            <w:r>
              <w:rPr>
                <w:rFonts w:hint="eastAsia" w:ascii="宋体" w:hAnsi="宋体" w:cs="宋体"/>
                <w:szCs w:val="21"/>
              </w:rPr>
              <w:t>缺陷责任期</w:t>
            </w:r>
          </w:p>
        </w:tc>
        <w:tc>
          <w:tcPr>
            <w:tcW w:w="4994" w:type="dxa"/>
            <w:vAlign w:val="center"/>
          </w:tcPr>
          <w:p>
            <w:pPr>
              <w:spacing w:line="400" w:lineRule="atLeast"/>
              <w:rPr>
                <w:rFonts w:ascii="宋体" w:hAnsi="宋体" w:cs="宋体"/>
                <w:szCs w:val="21"/>
              </w:rPr>
            </w:pPr>
            <w:r>
              <w:rPr>
                <w:rFonts w:hint="eastAsia" w:ascii="宋体" w:hAnsi="宋体" w:cs="宋体"/>
                <w:szCs w:val="21"/>
              </w:rPr>
              <w:t>工程全部完成经询价人验收合格之日起满</w:t>
            </w:r>
            <w:r>
              <w:rPr>
                <w:rFonts w:hint="eastAsia" w:ascii="宋体" w:hAnsi="宋体" w:cs="宋体"/>
                <w:szCs w:val="21"/>
                <w:u w:val="single"/>
              </w:rPr>
              <w:t xml:space="preserve"> 1年</w:t>
            </w:r>
            <w:r>
              <w:rPr>
                <w:rFonts w:hint="eastAsia" w:ascii="宋体" w:hAnsi="宋体" w:cs="宋体"/>
                <w:szCs w:val="21"/>
              </w:rPr>
              <w:t>，缺陷责任期内如发生质量问题，报价人应无条件修复。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1161" w:type="dxa"/>
            <w:vAlign w:val="center"/>
          </w:tcPr>
          <w:p>
            <w:pPr>
              <w:spacing w:line="400" w:lineRule="atLeast"/>
              <w:jc w:val="center"/>
              <w:rPr>
                <w:rFonts w:ascii="宋体" w:hAnsi="宋体" w:cs="宋体"/>
                <w:szCs w:val="21"/>
              </w:rPr>
            </w:pPr>
            <w:r>
              <w:rPr>
                <w:rFonts w:hint="eastAsia" w:ascii="宋体" w:hAnsi="宋体" w:cs="宋体"/>
                <w:szCs w:val="21"/>
              </w:rPr>
              <w:t>1.4.1</w:t>
            </w:r>
          </w:p>
        </w:tc>
        <w:tc>
          <w:tcPr>
            <w:tcW w:w="2872" w:type="dxa"/>
            <w:vAlign w:val="center"/>
          </w:tcPr>
          <w:p>
            <w:pPr>
              <w:spacing w:line="400" w:lineRule="atLeast"/>
              <w:jc w:val="center"/>
              <w:rPr>
                <w:rFonts w:ascii="宋体" w:hAnsi="宋体" w:cs="宋体"/>
                <w:szCs w:val="21"/>
              </w:rPr>
            </w:pPr>
            <w:r>
              <w:rPr>
                <w:rFonts w:hint="eastAsia" w:ascii="宋体" w:hAnsi="宋体" w:cs="宋体"/>
                <w:szCs w:val="21"/>
              </w:rPr>
              <w:t>报价人资质条件、</w:t>
            </w:r>
          </w:p>
          <w:p>
            <w:pPr>
              <w:spacing w:line="400" w:lineRule="atLeast"/>
              <w:jc w:val="center"/>
              <w:rPr>
                <w:rFonts w:ascii="宋体" w:hAnsi="宋体" w:cs="宋体"/>
                <w:szCs w:val="21"/>
              </w:rPr>
            </w:pPr>
            <w:r>
              <w:rPr>
                <w:rFonts w:hint="eastAsia" w:ascii="宋体" w:hAnsi="宋体" w:cs="宋体"/>
                <w:szCs w:val="21"/>
              </w:rPr>
              <w:t>能力和信誉</w:t>
            </w:r>
          </w:p>
        </w:tc>
        <w:tc>
          <w:tcPr>
            <w:tcW w:w="4994" w:type="dxa"/>
            <w:vAlign w:val="center"/>
          </w:tcPr>
          <w:p>
            <w:pPr>
              <w:pStyle w:val="20"/>
              <w:topLinePunct/>
              <w:spacing w:after="0"/>
              <w:rPr>
                <w:rFonts w:ascii="宋体" w:hAnsi="宋体" w:cs="宋体"/>
                <w:sz w:val="21"/>
                <w:szCs w:val="21"/>
              </w:rPr>
            </w:pPr>
            <w:r>
              <w:rPr>
                <w:rFonts w:hint="eastAsia" w:ascii="宋体" w:hAnsi="宋体" w:cs="宋体"/>
                <w:sz w:val="21"/>
                <w:szCs w:val="21"/>
              </w:rPr>
              <w:t>资质条件：见附录1</w:t>
            </w:r>
          </w:p>
          <w:p>
            <w:pPr>
              <w:pStyle w:val="20"/>
              <w:topLinePunct/>
              <w:spacing w:after="0"/>
              <w:rPr>
                <w:rFonts w:ascii="宋体" w:hAnsi="宋体" w:cs="宋体"/>
                <w:sz w:val="21"/>
                <w:szCs w:val="21"/>
              </w:rPr>
            </w:pPr>
            <w:r>
              <w:rPr>
                <w:rFonts w:hint="eastAsia" w:ascii="宋体" w:hAnsi="宋体" w:cs="宋体"/>
                <w:sz w:val="21"/>
                <w:szCs w:val="21"/>
              </w:rPr>
              <w:t>业绩要求：见附录2</w:t>
            </w:r>
          </w:p>
          <w:p>
            <w:pPr>
              <w:pStyle w:val="20"/>
              <w:topLinePunct/>
              <w:spacing w:after="0"/>
              <w:rPr>
                <w:rFonts w:ascii="宋体" w:hAnsi="宋体" w:cs="宋体"/>
                <w:sz w:val="21"/>
                <w:szCs w:val="21"/>
              </w:rPr>
            </w:pPr>
            <w:r>
              <w:rPr>
                <w:rFonts w:hint="eastAsia" w:ascii="宋体" w:hAnsi="宋体" w:cs="宋体"/>
                <w:sz w:val="21"/>
                <w:szCs w:val="21"/>
              </w:rPr>
              <w:t>信誉要求：见附录3</w:t>
            </w:r>
          </w:p>
          <w:p>
            <w:pPr>
              <w:jc w:val="left"/>
              <w:rPr>
                <w:rFonts w:ascii="宋体" w:hAnsi="宋体" w:cs="宋体"/>
                <w:szCs w:val="21"/>
              </w:rPr>
            </w:pPr>
            <w:r>
              <w:rPr>
                <w:rFonts w:hint="eastAsia" w:ascii="宋体" w:hAnsi="宋体" w:cs="宋体"/>
                <w:szCs w:val="21"/>
              </w:rPr>
              <w:t>项目经理要求：见附录4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161" w:type="dxa"/>
            <w:vAlign w:val="center"/>
          </w:tcPr>
          <w:p>
            <w:pPr>
              <w:spacing w:line="400" w:lineRule="atLeast"/>
              <w:jc w:val="center"/>
              <w:rPr>
                <w:rFonts w:ascii="宋体" w:hAnsi="宋体" w:cs="宋体"/>
                <w:szCs w:val="21"/>
              </w:rPr>
            </w:pPr>
            <w:r>
              <w:rPr>
                <w:rFonts w:hint="eastAsia" w:ascii="宋体" w:hAnsi="宋体" w:cs="宋体"/>
                <w:szCs w:val="21"/>
              </w:rPr>
              <w:t>1.4.2</w:t>
            </w:r>
          </w:p>
        </w:tc>
        <w:tc>
          <w:tcPr>
            <w:tcW w:w="2872" w:type="dxa"/>
            <w:vAlign w:val="center"/>
          </w:tcPr>
          <w:p>
            <w:pPr>
              <w:spacing w:line="400" w:lineRule="atLeast"/>
              <w:jc w:val="center"/>
              <w:rPr>
                <w:rFonts w:ascii="宋体" w:hAnsi="宋体" w:cs="宋体"/>
                <w:szCs w:val="21"/>
              </w:rPr>
            </w:pPr>
            <w:r>
              <w:rPr>
                <w:rFonts w:hint="eastAsia" w:ascii="宋体" w:hAnsi="宋体" w:cs="宋体"/>
                <w:szCs w:val="21"/>
              </w:rPr>
              <w:t>是否接受联合体报价</w:t>
            </w:r>
          </w:p>
        </w:tc>
        <w:tc>
          <w:tcPr>
            <w:tcW w:w="4994" w:type="dxa"/>
            <w:vAlign w:val="center"/>
          </w:tcPr>
          <w:p>
            <w:pPr>
              <w:spacing w:line="400" w:lineRule="atLeast"/>
              <w:rPr>
                <w:rFonts w:ascii="宋体" w:hAnsi="宋体" w:cs="宋体"/>
                <w:szCs w:val="21"/>
              </w:rPr>
            </w:pPr>
            <w:r>
              <w:rPr>
                <w:rFonts w:hint="eastAsia" w:ascii="宋体" w:hAnsi="宋体" w:cs="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161" w:type="dxa"/>
            <w:vAlign w:val="center"/>
          </w:tcPr>
          <w:p>
            <w:pPr>
              <w:spacing w:line="400" w:lineRule="atLeast"/>
              <w:jc w:val="center"/>
              <w:rPr>
                <w:rFonts w:ascii="宋体" w:hAnsi="宋体" w:cs="宋体"/>
                <w:szCs w:val="21"/>
              </w:rPr>
            </w:pPr>
            <w:r>
              <w:rPr>
                <w:rFonts w:hint="eastAsia" w:ascii="宋体" w:hAnsi="宋体" w:cs="宋体"/>
                <w:szCs w:val="21"/>
              </w:rPr>
              <w:t>1.4.3</w:t>
            </w:r>
          </w:p>
        </w:tc>
        <w:tc>
          <w:tcPr>
            <w:tcW w:w="2872" w:type="dxa"/>
            <w:vAlign w:val="center"/>
          </w:tcPr>
          <w:p>
            <w:pPr>
              <w:pStyle w:val="122"/>
              <w:jc w:val="center"/>
              <w:rPr>
                <w:rFonts w:ascii="宋体" w:hAnsi="宋体" w:cs="宋体"/>
                <w:szCs w:val="21"/>
              </w:rPr>
            </w:pPr>
            <w:r>
              <w:rPr>
                <w:rFonts w:hint="eastAsia" w:ascii="宋体" w:hAnsi="宋体" w:cs="宋体"/>
                <w:szCs w:val="21"/>
              </w:rPr>
              <w:t>报价人不得与本标段相关单位存在下列关联关系</w:t>
            </w:r>
          </w:p>
        </w:tc>
        <w:tc>
          <w:tcPr>
            <w:tcW w:w="4994" w:type="dxa"/>
            <w:vAlign w:val="center"/>
          </w:tcPr>
          <w:p>
            <w:pPr>
              <w:spacing w:line="400" w:lineRule="exact"/>
              <w:rPr>
                <w:rFonts w:ascii="宋体" w:hAnsi="宋体" w:cs="宋体"/>
                <w:szCs w:val="21"/>
              </w:rPr>
            </w:pPr>
            <w:r>
              <w:rPr>
                <w:rFonts w:hint="eastAsia" w:ascii="宋体" w:hAnsi="宋体" w:cs="宋体"/>
                <w:szCs w:val="21"/>
              </w:rPr>
              <w:t>(1)为询价人不具有独立法人资格的附属机构(单位)；</w:t>
            </w:r>
          </w:p>
          <w:p>
            <w:pPr>
              <w:spacing w:line="400" w:lineRule="exact"/>
              <w:rPr>
                <w:rFonts w:ascii="宋体" w:hAnsi="宋体" w:cs="宋体"/>
                <w:szCs w:val="21"/>
              </w:rPr>
            </w:pPr>
            <w:r>
              <w:rPr>
                <w:rFonts w:hint="eastAsia" w:ascii="宋体" w:hAnsi="宋体" w:cs="宋体"/>
                <w:szCs w:val="21"/>
              </w:rPr>
              <w:t>(2)与询价人存在利害关系且可能影响询价公正性；</w:t>
            </w:r>
          </w:p>
          <w:p>
            <w:pPr>
              <w:spacing w:line="400" w:lineRule="exact"/>
              <w:rPr>
                <w:rFonts w:ascii="宋体" w:hAnsi="宋体" w:cs="宋体"/>
                <w:szCs w:val="21"/>
              </w:rPr>
            </w:pPr>
            <w:r>
              <w:rPr>
                <w:rFonts w:hint="eastAsia" w:ascii="宋体" w:hAnsi="宋体" w:cs="宋体"/>
                <w:szCs w:val="21"/>
              </w:rPr>
              <w:t>(3)与本标段的其他报价人同为一个单位负责人的；</w:t>
            </w:r>
          </w:p>
          <w:p>
            <w:pPr>
              <w:spacing w:line="400" w:lineRule="exact"/>
              <w:rPr>
                <w:rFonts w:ascii="宋体" w:hAnsi="宋体" w:cs="宋体"/>
                <w:szCs w:val="21"/>
              </w:rPr>
            </w:pPr>
            <w:r>
              <w:rPr>
                <w:rFonts w:hint="eastAsia" w:ascii="宋体" w:hAnsi="宋体" w:cs="宋体"/>
                <w:szCs w:val="21"/>
              </w:rPr>
              <w:t>(4)与本标段的其他报价人存在控股、管理关系的；</w:t>
            </w:r>
          </w:p>
          <w:p>
            <w:pPr>
              <w:spacing w:line="400" w:lineRule="exact"/>
              <w:rPr>
                <w:rFonts w:ascii="宋体" w:hAnsi="宋体" w:cs="宋体"/>
                <w:szCs w:val="21"/>
              </w:rPr>
            </w:pPr>
            <w:r>
              <w:rPr>
                <w:rFonts w:hint="eastAsia" w:ascii="宋体" w:hAnsi="宋体" w:cs="宋体"/>
                <w:szCs w:val="21"/>
              </w:rPr>
              <w:t>(5）法律法规或报价人须知前附表规定的其他情形。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161" w:type="dxa"/>
            <w:vAlign w:val="center"/>
          </w:tcPr>
          <w:p>
            <w:pPr>
              <w:pStyle w:val="122"/>
              <w:jc w:val="center"/>
              <w:rPr>
                <w:rFonts w:ascii="宋体" w:hAnsi="宋体" w:cs="宋体"/>
                <w:szCs w:val="21"/>
              </w:rPr>
            </w:pPr>
            <w:r>
              <w:rPr>
                <w:rFonts w:hint="eastAsia" w:ascii="宋体" w:hAnsi="宋体" w:cs="宋体"/>
                <w:szCs w:val="21"/>
              </w:rPr>
              <w:t>1.9.1</w:t>
            </w:r>
          </w:p>
        </w:tc>
        <w:tc>
          <w:tcPr>
            <w:tcW w:w="2872" w:type="dxa"/>
            <w:vAlign w:val="center"/>
          </w:tcPr>
          <w:p>
            <w:pPr>
              <w:pStyle w:val="122"/>
              <w:rPr>
                <w:rFonts w:ascii="宋体" w:hAnsi="宋体" w:cs="宋体"/>
                <w:szCs w:val="21"/>
              </w:rPr>
            </w:pPr>
            <w:r>
              <w:rPr>
                <w:rFonts w:hint="eastAsia" w:ascii="宋体" w:hAnsi="宋体" w:cs="宋体"/>
                <w:szCs w:val="21"/>
              </w:rPr>
              <w:t>踏勘现场</w:t>
            </w:r>
          </w:p>
        </w:tc>
        <w:tc>
          <w:tcPr>
            <w:tcW w:w="4994" w:type="dxa"/>
            <w:vAlign w:val="center"/>
          </w:tcPr>
          <w:p>
            <w:pPr>
              <w:pStyle w:val="122"/>
              <w:rPr>
                <w:rFonts w:ascii="宋体" w:hAnsi="宋体" w:cs="宋体"/>
                <w:szCs w:val="21"/>
              </w:rPr>
            </w:pPr>
            <w:r>
              <w:rPr>
                <w:rFonts w:hint="eastAsia" w:ascii="宋体" w:hAnsi="宋体" w:cs="宋体"/>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161" w:type="dxa"/>
            <w:vAlign w:val="center"/>
          </w:tcPr>
          <w:p>
            <w:pPr>
              <w:pStyle w:val="122"/>
              <w:jc w:val="center"/>
              <w:rPr>
                <w:rFonts w:ascii="宋体" w:hAnsi="宋体" w:cs="宋体"/>
                <w:sz w:val="15"/>
                <w:szCs w:val="15"/>
              </w:rPr>
            </w:pPr>
            <w:r>
              <w:rPr>
                <w:rFonts w:hint="eastAsia" w:ascii="宋体" w:hAnsi="宋体" w:cs="宋体"/>
                <w:szCs w:val="21"/>
              </w:rPr>
              <w:t>1.11.1</w:t>
            </w:r>
          </w:p>
        </w:tc>
        <w:tc>
          <w:tcPr>
            <w:tcW w:w="2872" w:type="dxa"/>
            <w:vAlign w:val="center"/>
          </w:tcPr>
          <w:p>
            <w:pPr>
              <w:pStyle w:val="122"/>
              <w:rPr>
                <w:rFonts w:ascii="宋体" w:hAnsi="宋体" w:cs="宋体"/>
                <w:szCs w:val="21"/>
              </w:rPr>
            </w:pPr>
            <w:r>
              <w:rPr>
                <w:rFonts w:hint="eastAsia" w:ascii="宋体" w:hAnsi="宋体" w:cs="宋体"/>
                <w:szCs w:val="21"/>
              </w:rPr>
              <w:t>分包</w:t>
            </w:r>
          </w:p>
        </w:tc>
        <w:tc>
          <w:tcPr>
            <w:tcW w:w="4994" w:type="dxa"/>
            <w:vAlign w:val="center"/>
          </w:tcPr>
          <w:p>
            <w:pPr>
              <w:pStyle w:val="122"/>
              <w:rPr>
                <w:rFonts w:ascii="宋体" w:hAnsi="宋体" w:cs="宋体"/>
                <w:szCs w:val="21"/>
              </w:rPr>
            </w:pPr>
            <w:r>
              <w:rPr>
                <w:rFonts w:hint="eastAsia" w:ascii="宋体" w:hAnsi="宋体" w:cs="宋体"/>
                <w:szCs w:val="21"/>
              </w:rPr>
              <w:sym w:font="Wingdings 2" w:char="F052"/>
            </w:r>
            <w:r>
              <w:rPr>
                <w:rFonts w:hint="eastAsia" w:ascii="宋体" w:hAnsi="宋体" w:cs="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Align w:val="center"/>
          </w:tcPr>
          <w:p>
            <w:pPr>
              <w:pStyle w:val="122"/>
              <w:jc w:val="center"/>
              <w:rPr>
                <w:rFonts w:ascii="宋体" w:hAnsi="宋体" w:cs="宋体"/>
                <w:szCs w:val="21"/>
              </w:rPr>
            </w:pPr>
            <w:r>
              <w:rPr>
                <w:rFonts w:hint="eastAsia" w:ascii="宋体" w:hAnsi="宋体" w:cs="宋体"/>
                <w:szCs w:val="21"/>
              </w:rPr>
              <w:t>3.1.1</w:t>
            </w:r>
          </w:p>
        </w:tc>
        <w:tc>
          <w:tcPr>
            <w:tcW w:w="2872" w:type="dxa"/>
            <w:vAlign w:val="center"/>
          </w:tcPr>
          <w:p>
            <w:pPr>
              <w:pStyle w:val="122"/>
              <w:rPr>
                <w:rFonts w:ascii="宋体" w:hAnsi="宋体" w:cs="宋体"/>
                <w:szCs w:val="21"/>
              </w:rPr>
            </w:pPr>
            <w:r>
              <w:rPr>
                <w:rFonts w:hint="eastAsia" w:ascii="宋体" w:hAnsi="宋体" w:cs="宋体"/>
                <w:szCs w:val="21"/>
              </w:rPr>
              <w:t>报价文件密封形式</w:t>
            </w:r>
          </w:p>
        </w:tc>
        <w:tc>
          <w:tcPr>
            <w:tcW w:w="4994" w:type="dxa"/>
            <w:vAlign w:val="center"/>
          </w:tcPr>
          <w:p>
            <w:pPr>
              <w:pStyle w:val="122"/>
              <w:rPr>
                <w:rFonts w:ascii="宋体" w:hAnsi="宋体" w:cs="宋体"/>
                <w:b/>
                <w:szCs w:val="21"/>
              </w:rPr>
            </w:pPr>
            <w:r>
              <w:rPr>
                <w:rFonts w:hint="eastAsia" w:ascii="宋体" w:hAnsi="宋体" w:cs="宋体"/>
                <w:szCs w:val="21"/>
              </w:rPr>
              <w:sym w:font="Wingdings 2" w:char="F052"/>
            </w:r>
            <w:r>
              <w:rPr>
                <w:rFonts w:hint="eastAsia" w:ascii="宋体" w:hAnsi="宋体" w:cs="宋体"/>
                <w:szCs w:val="21"/>
              </w:rPr>
              <w:t>单信封(两层封套)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61" w:type="dxa"/>
            <w:vAlign w:val="center"/>
          </w:tcPr>
          <w:p>
            <w:pPr>
              <w:pStyle w:val="122"/>
              <w:jc w:val="center"/>
              <w:rPr>
                <w:rFonts w:ascii="宋体" w:hAnsi="宋体" w:cs="宋体"/>
                <w:szCs w:val="21"/>
              </w:rPr>
            </w:pPr>
            <w:r>
              <w:rPr>
                <w:rFonts w:hint="eastAsia" w:ascii="宋体" w:hAnsi="宋体" w:cs="宋体"/>
                <w:szCs w:val="21"/>
              </w:rPr>
              <w:t>3.2.1</w:t>
            </w:r>
          </w:p>
        </w:tc>
        <w:tc>
          <w:tcPr>
            <w:tcW w:w="2872" w:type="dxa"/>
            <w:vAlign w:val="center"/>
          </w:tcPr>
          <w:p>
            <w:pPr>
              <w:pStyle w:val="122"/>
              <w:rPr>
                <w:rFonts w:ascii="宋体" w:hAnsi="宋体" w:cs="宋体"/>
                <w:szCs w:val="21"/>
              </w:rPr>
            </w:pPr>
            <w:r>
              <w:rPr>
                <w:rFonts w:hint="eastAsia" w:ascii="宋体" w:hAnsi="宋体" w:cs="宋体"/>
                <w:szCs w:val="21"/>
              </w:rPr>
              <w:t>增值税税金的计算方法</w:t>
            </w:r>
          </w:p>
        </w:tc>
        <w:tc>
          <w:tcPr>
            <w:tcW w:w="4994" w:type="dxa"/>
            <w:vAlign w:val="center"/>
          </w:tcPr>
          <w:p>
            <w:pPr>
              <w:pStyle w:val="122"/>
              <w:rPr>
                <w:rFonts w:ascii="宋体" w:hAnsi="宋体" w:cs="宋体"/>
                <w:szCs w:val="21"/>
              </w:rPr>
            </w:pPr>
            <w:r>
              <w:rPr>
                <w:rFonts w:hint="eastAsia" w:ascii="宋体" w:hAnsi="宋体" w:cs="宋体"/>
                <w:szCs w:val="21"/>
              </w:rPr>
              <w:t>投标报价为含税价。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Align w:val="center"/>
          </w:tcPr>
          <w:p>
            <w:pPr>
              <w:pStyle w:val="122"/>
              <w:jc w:val="center"/>
              <w:rPr>
                <w:rFonts w:ascii="宋体" w:hAnsi="宋体" w:cs="宋体"/>
                <w:szCs w:val="21"/>
              </w:rPr>
            </w:pPr>
            <w:r>
              <w:rPr>
                <w:rFonts w:hint="eastAsia" w:ascii="宋体" w:hAnsi="宋体" w:cs="宋体"/>
                <w:szCs w:val="21"/>
              </w:rPr>
              <w:t>3.2.1</w:t>
            </w:r>
          </w:p>
        </w:tc>
        <w:tc>
          <w:tcPr>
            <w:tcW w:w="2872" w:type="dxa"/>
            <w:vAlign w:val="center"/>
          </w:tcPr>
          <w:p>
            <w:pPr>
              <w:pStyle w:val="122"/>
              <w:rPr>
                <w:rFonts w:ascii="宋体" w:hAnsi="宋体" w:cs="宋体"/>
                <w:szCs w:val="21"/>
              </w:rPr>
            </w:pPr>
            <w:r>
              <w:rPr>
                <w:rFonts w:hint="eastAsia" w:ascii="宋体" w:hAnsi="宋体" w:cs="宋体"/>
                <w:szCs w:val="21"/>
              </w:rPr>
              <w:t>工程量清单的填写方式</w:t>
            </w:r>
          </w:p>
        </w:tc>
        <w:tc>
          <w:tcPr>
            <w:tcW w:w="4994" w:type="dxa"/>
            <w:vAlign w:val="center"/>
          </w:tcPr>
          <w:p>
            <w:pPr>
              <w:pStyle w:val="122"/>
              <w:rPr>
                <w:rFonts w:ascii="宋体" w:hAnsi="宋体" w:cs="宋体"/>
                <w:szCs w:val="21"/>
              </w:rPr>
            </w:pPr>
            <w:r>
              <w:rPr>
                <w:rFonts w:hint="eastAsia" w:ascii="宋体" w:hAnsi="宋体" w:cs="宋体"/>
                <w:szCs w:val="21"/>
              </w:rPr>
              <w:sym w:font="Wingdings 2" w:char="F052"/>
            </w:r>
            <w:r>
              <w:rPr>
                <w:rFonts w:hint="eastAsia" w:ascii="宋体" w:hAnsi="宋体" w:cs="宋体"/>
                <w:szCs w:val="21"/>
              </w:rPr>
              <w:t>投标人按照招标人提供的书面工程量清单填写工程量清单。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Align w:val="center"/>
          </w:tcPr>
          <w:p>
            <w:pPr>
              <w:pStyle w:val="122"/>
              <w:jc w:val="center"/>
              <w:rPr>
                <w:rFonts w:ascii="宋体" w:hAnsi="宋体" w:cs="宋体"/>
                <w:szCs w:val="21"/>
              </w:rPr>
            </w:pPr>
            <w:r>
              <w:rPr>
                <w:rFonts w:hint="eastAsia" w:ascii="宋体" w:hAnsi="宋体" w:cs="宋体"/>
                <w:szCs w:val="21"/>
              </w:rPr>
              <w:t>3.2.3</w:t>
            </w:r>
          </w:p>
        </w:tc>
        <w:tc>
          <w:tcPr>
            <w:tcW w:w="2872" w:type="dxa"/>
            <w:vAlign w:val="center"/>
          </w:tcPr>
          <w:p>
            <w:pPr>
              <w:pStyle w:val="122"/>
              <w:rPr>
                <w:rFonts w:ascii="宋体" w:hAnsi="宋体" w:cs="宋体"/>
                <w:szCs w:val="21"/>
              </w:rPr>
            </w:pPr>
            <w:r>
              <w:rPr>
                <w:rFonts w:hint="eastAsia" w:ascii="宋体" w:hAnsi="宋体" w:cs="宋体"/>
                <w:szCs w:val="21"/>
              </w:rPr>
              <w:t>报价方式</w:t>
            </w:r>
          </w:p>
        </w:tc>
        <w:tc>
          <w:tcPr>
            <w:tcW w:w="4994" w:type="dxa"/>
            <w:vAlign w:val="center"/>
          </w:tcPr>
          <w:p>
            <w:pPr>
              <w:pStyle w:val="122"/>
              <w:rPr>
                <w:rFonts w:ascii="宋体" w:hAnsi="宋体" w:cs="宋体"/>
                <w:szCs w:val="21"/>
              </w:rPr>
            </w:pPr>
            <w:r>
              <w:rPr>
                <w:rFonts w:hint="eastAsia" w:ascii="宋体" w:hAnsi="宋体" w:cs="宋体"/>
                <w:szCs w:val="21"/>
              </w:rPr>
              <w:sym w:font="Wingdings 2" w:char="F052"/>
            </w:r>
            <w:r>
              <w:rPr>
                <w:rFonts w:hint="eastAsia" w:ascii="宋体" w:hAnsi="宋体" w:cs="宋体"/>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Align w:val="center"/>
          </w:tcPr>
          <w:p>
            <w:pPr>
              <w:pStyle w:val="122"/>
              <w:jc w:val="center"/>
              <w:rPr>
                <w:rFonts w:ascii="宋体" w:hAnsi="宋体" w:cs="宋体"/>
                <w:szCs w:val="21"/>
              </w:rPr>
            </w:pPr>
            <w:r>
              <w:rPr>
                <w:rFonts w:hint="eastAsia" w:ascii="宋体" w:hAnsi="宋体" w:cs="宋体"/>
                <w:szCs w:val="21"/>
              </w:rPr>
              <w:t>3.2.6</w:t>
            </w:r>
          </w:p>
        </w:tc>
        <w:tc>
          <w:tcPr>
            <w:tcW w:w="2872" w:type="dxa"/>
            <w:vAlign w:val="center"/>
          </w:tcPr>
          <w:p>
            <w:pPr>
              <w:pStyle w:val="122"/>
              <w:rPr>
                <w:rFonts w:ascii="宋体" w:hAnsi="宋体" w:cs="宋体"/>
                <w:szCs w:val="21"/>
              </w:rPr>
            </w:pPr>
            <w:r>
              <w:rPr>
                <w:rFonts w:hint="eastAsia" w:ascii="宋体" w:hAnsi="宋体" w:cs="宋体"/>
                <w:szCs w:val="21"/>
              </w:rPr>
              <w:t>是否接受调价函</w:t>
            </w:r>
          </w:p>
        </w:tc>
        <w:tc>
          <w:tcPr>
            <w:tcW w:w="4994" w:type="dxa"/>
            <w:vAlign w:val="center"/>
          </w:tcPr>
          <w:p>
            <w:pPr>
              <w:pStyle w:val="122"/>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Align w:val="center"/>
          </w:tcPr>
          <w:p>
            <w:pPr>
              <w:pStyle w:val="122"/>
              <w:jc w:val="center"/>
              <w:rPr>
                <w:rFonts w:ascii="宋体" w:hAnsi="宋体" w:cs="宋体"/>
                <w:szCs w:val="21"/>
              </w:rPr>
            </w:pPr>
            <w:r>
              <w:rPr>
                <w:rFonts w:hint="eastAsia" w:ascii="宋体" w:hAnsi="宋体" w:cs="宋体"/>
                <w:szCs w:val="21"/>
              </w:rPr>
              <w:t>3.2.8</w:t>
            </w:r>
          </w:p>
        </w:tc>
        <w:tc>
          <w:tcPr>
            <w:tcW w:w="2872" w:type="dxa"/>
            <w:vAlign w:val="center"/>
          </w:tcPr>
          <w:p>
            <w:pPr>
              <w:pStyle w:val="122"/>
              <w:rPr>
                <w:rFonts w:ascii="宋体" w:hAnsi="宋体" w:cs="宋体"/>
                <w:szCs w:val="21"/>
                <w:highlight w:val="none"/>
              </w:rPr>
            </w:pPr>
            <w:r>
              <w:rPr>
                <w:rFonts w:hint="eastAsia" w:ascii="宋体" w:hAnsi="宋体" w:cs="宋体"/>
                <w:szCs w:val="21"/>
                <w:highlight w:val="none"/>
              </w:rPr>
              <w:t>最高投标限价</w:t>
            </w:r>
          </w:p>
        </w:tc>
        <w:tc>
          <w:tcPr>
            <w:tcW w:w="4994" w:type="dxa"/>
            <w:vAlign w:val="center"/>
          </w:tcPr>
          <w:p>
            <w:pPr>
              <w:pStyle w:val="122"/>
              <w:rPr>
                <w:rFonts w:ascii="宋体" w:hAnsi="宋体" w:cs="宋体"/>
                <w:szCs w:val="21"/>
                <w:highlight w:val="none"/>
              </w:rPr>
            </w:pPr>
            <w:r>
              <w:rPr>
                <w:rFonts w:hint="eastAsia" w:ascii="宋体" w:hAnsi="宋体" w:cs="宋体"/>
                <w:szCs w:val="21"/>
                <w:highlight w:val="none"/>
              </w:rPr>
              <w:sym w:font="Wingdings 2" w:char="F052"/>
            </w:r>
            <w:r>
              <w:rPr>
                <w:rFonts w:hint="eastAsia" w:ascii="宋体" w:hAnsi="宋体" w:cs="宋体"/>
                <w:szCs w:val="21"/>
                <w:highlight w:val="none"/>
              </w:rPr>
              <w:t>有，最高投标限价</w:t>
            </w:r>
            <w:r>
              <w:rPr>
                <w:rFonts w:hint="eastAsia" w:ascii="宋体" w:hAnsi="宋体" w:cs="宋体"/>
                <w:szCs w:val="21"/>
                <w:highlight w:val="none"/>
                <w:lang w:val="en-US" w:eastAsia="zh-CN"/>
              </w:rPr>
              <w:t>87</w:t>
            </w:r>
            <w:r>
              <w:rPr>
                <w:rFonts w:hint="eastAsia" w:ascii="宋体" w:hAnsi="宋体" w:cs="宋体"/>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61" w:type="dxa"/>
            <w:vAlign w:val="center"/>
          </w:tcPr>
          <w:p>
            <w:pPr>
              <w:pStyle w:val="122"/>
              <w:jc w:val="center"/>
              <w:rPr>
                <w:rFonts w:ascii="宋体" w:hAnsi="宋体" w:cs="宋体"/>
                <w:szCs w:val="21"/>
              </w:rPr>
            </w:pPr>
            <w:r>
              <w:rPr>
                <w:rFonts w:hint="eastAsia" w:ascii="宋体" w:hAnsi="宋体" w:cs="宋体"/>
                <w:szCs w:val="21"/>
              </w:rPr>
              <w:t>3.4.1</w:t>
            </w:r>
          </w:p>
        </w:tc>
        <w:tc>
          <w:tcPr>
            <w:tcW w:w="2872" w:type="dxa"/>
            <w:vAlign w:val="center"/>
          </w:tcPr>
          <w:p>
            <w:pPr>
              <w:pStyle w:val="122"/>
              <w:rPr>
                <w:rFonts w:ascii="宋体" w:hAnsi="宋体" w:cs="宋体"/>
                <w:szCs w:val="21"/>
              </w:rPr>
            </w:pPr>
            <w:r>
              <w:rPr>
                <w:rFonts w:hint="eastAsia" w:ascii="宋体" w:hAnsi="宋体" w:cs="宋体"/>
                <w:szCs w:val="21"/>
                <w:lang w:eastAsia="zh-CN"/>
              </w:rPr>
              <w:t>报价</w:t>
            </w:r>
            <w:r>
              <w:rPr>
                <w:rFonts w:hint="eastAsia" w:ascii="宋体" w:hAnsi="宋体" w:cs="宋体"/>
                <w:szCs w:val="21"/>
              </w:rPr>
              <w:t>保证金</w:t>
            </w:r>
          </w:p>
        </w:tc>
        <w:tc>
          <w:tcPr>
            <w:tcW w:w="4994" w:type="dxa"/>
            <w:vAlign w:val="center"/>
          </w:tcPr>
          <w:p>
            <w:pPr>
              <w:pStyle w:val="122"/>
              <w:rPr>
                <w:rFonts w:ascii="宋体" w:hAnsi="宋体" w:cs="宋体"/>
                <w:szCs w:val="21"/>
              </w:rPr>
            </w:pPr>
            <w:r>
              <w:rPr>
                <w:rFonts w:hint="eastAsia" w:ascii="宋体" w:hAnsi="宋体" w:cs="宋体"/>
                <w:szCs w:val="21"/>
              </w:rPr>
              <w:t>是否要求</w:t>
            </w:r>
            <w:r>
              <w:rPr>
                <w:rFonts w:hint="eastAsia" w:ascii="宋体" w:hAnsi="宋体" w:cs="宋体"/>
                <w:szCs w:val="21"/>
                <w:lang w:eastAsia="zh-CN"/>
              </w:rPr>
              <w:t>报价</w:t>
            </w:r>
            <w:r>
              <w:rPr>
                <w:rFonts w:hint="eastAsia" w:ascii="宋体" w:hAnsi="宋体" w:cs="宋体"/>
                <w:szCs w:val="21"/>
              </w:rPr>
              <w:t>人递交</w:t>
            </w:r>
            <w:r>
              <w:rPr>
                <w:rFonts w:hint="eastAsia" w:ascii="宋体" w:hAnsi="宋体" w:cs="宋体"/>
                <w:szCs w:val="21"/>
                <w:lang w:eastAsia="zh-CN"/>
              </w:rPr>
              <w:t>报价</w:t>
            </w:r>
            <w:r>
              <w:rPr>
                <w:rFonts w:hint="eastAsia" w:ascii="宋体" w:hAnsi="宋体" w:cs="宋体"/>
                <w:szCs w:val="21"/>
              </w:rPr>
              <w:t>保证金：</w:t>
            </w:r>
          </w:p>
          <w:p>
            <w:pPr>
              <w:pStyle w:val="122"/>
              <w:rPr>
                <w:rFonts w:hint="eastAsia" w:ascii="宋体" w:hAnsi="宋体" w:eastAsia="宋体" w:cs="宋体"/>
                <w:color w:val="0000FF"/>
                <w:szCs w:val="21"/>
                <w:lang w:eastAsia="zh-CN"/>
              </w:rPr>
            </w:pPr>
            <w:r>
              <w:rPr>
                <w:rFonts w:hint="eastAsia" w:ascii="宋体" w:hAnsi="宋体" w:cs="宋体"/>
                <w:szCs w:val="21"/>
              </w:rPr>
              <w:sym w:font="Wingdings 2" w:char="0052"/>
            </w:r>
            <w:r>
              <w:rPr>
                <w:rFonts w:hint="eastAsia" w:ascii="宋体" w:hAnsi="宋体" w:cs="宋体"/>
                <w:szCs w:val="21"/>
              </w:rPr>
              <w:t>要求</w:t>
            </w:r>
            <w:r>
              <w:rPr>
                <w:rFonts w:hint="eastAsia" w:ascii="宋体" w:hAnsi="宋体" w:cs="宋体"/>
                <w:szCs w:val="21"/>
                <w:lang w:eastAsia="zh-CN"/>
              </w:rPr>
              <w:t>，报价证金壹万伍仟元整（￥</w:t>
            </w:r>
            <w:r>
              <w:rPr>
                <w:rFonts w:hint="eastAsia" w:ascii="宋体" w:hAnsi="宋体" w:cs="宋体"/>
                <w:szCs w:val="21"/>
                <w:lang w:val="en-US" w:eastAsia="zh-CN"/>
              </w:rPr>
              <w:t>15000.00元</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Align w:val="center"/>
          </w:tcPr>
          <w:p>
            <w:pPr>
              <w:pStyle w:val="122"/>
              <w:jc w:val="center"/>
              <w:rPr>
                <w:rFonts w:ascii="宋体" w:hAnsi="宋体" w:cs="宋体"/>
                <w:szCs w:val="21"/>
              </w:rPr>
            </w:pPr>
            <w:r>
              <w:rPr>
                <w:rFonts w:hint="eastAsia" w:ascii="宋体" w:hAnsi="宋体" w:cs="宋体"/>
                <w:szCs w:val="21"/>
              </w:rPr>
              <w:t>3.5.3</w:t>
            </w:r>
          </w:p>
        </w:tc>
        <w:tc>
          <w:tcPr>
            <w:tcW w:w="2872" w:type="dxa"/>
            <w:vAlign w:val="center"/>
          </w:tcPr>
          <w:p>
            <w:pPr>
              <w:pStyle w:val="122"/>
              <w:rPr>
                <w:rFonts w:ascii="宋体" w:hAnsi="宋体" w:cs="宋体"/>
                <w:szCs w:val="21"/>
              </w:rPr>
            </w:pPr>
            <w:r>
              <w:rPr>
                <w:rFonts w:hint="eastAsia" w:ascii="宋体" w:hAnsi="宋体" w:cs="宋体"/>
                <w:szCs w:val="21"/>
              </w:rPr>
              <w:t>近年完成的类似项目情况的时间要求</w:t>
            </w:r>
          </w:p>
        </w:tc>
        <w:tc>
          <w:tcPr>
            <w:tcW w:w="4994" w:type="dxa"/>
            <w:vAlign w:val="center"/>
          </w:tcPr>
          <w:p>
            <w:pPr>
              <w:pStyle w:val="122"/>
              <w:rPr>
                <w:rFonts w:ascii="宋体" w:hAnsi="宋体" w:cs="宋体"/>
                <w:szCs w:val="21"/>
              </w:rPr>
            </w:pPr>
            <w:r>
              <w:rPr>
                <w:rFonts w:hint="eastAsia" w:ascii="宋体" w:hAnsi="宋体" w:cs="宋体"/>
                <w:szCs w:val="21"/>
              </w:rPr>
              <w:t>近 5年(2014年1月1日至今)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161" w:type="dxa"/>
            <w:vAlign w:val="center"/>
          </w:tcPr>
          <w:p>
            <w:pPr>
              <w:pStyle w:val="122"/>
              <w:jc w:val="center"/>
              <w:rPr>
                <w:rFonts w:ascii="宋体" w:hAnsi="宋体" w:cs="宋体"/>
                <w:szCs w:val="21"/>
              </w:rPr>
            </w:pPr>
            <w:r>
              <w:rPr>
                <w:rFonts w:hint="eastAsia" w:ascii="宋体" w:hAnsi="宋体" w:cs="宋体"/>
                <w:szCs w:val="21"/>
              </w:rPr>
              <w:t>3.6.1</w:t>
            </w:r>
          </w:p>
        </w:tc>
        <w:tc>
          <w:tcPr>
            <w:tcW w:w="2872" w:type="dxa"/>
            <w:vAlign w:val="center"/>
          </w:tcPr>
          <w:p>
            <w:pPr>
              <w:pStyle w:val="122"/>
              <w:rPr>
                <w:rFonts w:ascii="宋体" w:hAnsi="宋体" w:cs="宋体"/>
                <w:szCs w:val="21"/>
              </w:rPr>
            </w:pPr>
            <w:r>
              <w:rPr>
                <w:rFonts w:hint="eastAsia" w:ascii="宋体" w:hAnsi="宋体" w:cs="宋体"/>
                <w:szCs w:val="21"/>
              </w:rPr>
              <w:t>是否允许递交备选报价方案</w:t>
            </w:r>
          </w:p>
        </w:tc>
        <w:tc>
          <w:tcPr>
            <w:tcW w:w="4994" w:type="dxa"/>
            <w:vAlign w:val="center"/>
          </w:tcPr>
          <w:p>
            <w:pPr>
              <w:pStyle w:val="122"/>
              <w:rPr>
                <w:rFonts w:ascii="宋体" w:hAnsi="宋体" w:cs="宋体"/>
                <w:szCs w:val="21"/>
                <w:u w:val="single"/>
              </w:rPr>
            </w:pPr>
            <w:r>
              <w:rPr>
                <w:rFonts w:hint="eastAsia" w:ascii="宋体" w:hAnsi="宋体" w:cs="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161" w:type="dxa"/>
            <w:vAlign w:val="center"/>
          </w:tcPr>
          <w:p>
            <w:pPr>
              <w:pStyle w:val="122"/>
              <w:jc w:val="center"/>
              <w:rPr>
                <w:rFonts w:ascii="宋体" w:hAnsi="宋体" w:cs="宋体"/>
                <w:szCs w:val="21"/>
              </w:rPr>
            </w:pPr>
            <w:r>
              <w:rPr>
                <w:rFonts w:hint="eastAsia" w:ascii="宋体" w:hAnsi="宋体" w:cs="宋体"/>
                <w:szCs w:val="21"/>
              </w:rPr>
              <w:t>3.7.4</w:t>
            </w:r>
          </w:p>
        </w:tc>
        <w:tc>
          <w:tcPr>
            <w:tcW w:w="2872" w:type="dxa"/>
            <w:vAlign w:val="center"/>
          </w:tcPr>
          <w:p>
            <w:pPr>
              <w:pStyle w:val="122"/>
              <w:rPr>
                <w:rFonts w:ascii="宋体" w:hAnsi="宋体" w:cs="宋体"/>
                <w:szCs w:val="21"/>
              </w:rPr>
            </w:pPr>
            <w:r>
              <w:rPr>
                <w:rFonts w:hint="eastAsia" w:ascii="宋体" w:hAnsi="宋体" w:cs="宋体"/>
                <w:szCs w:val="21"/>
              </w:rPr>
              <w:t>报价文件副本份数及其他要求</w:t>
            </w:r>
          </w:p>
        </w:tc>
        <w:tc>
          <w:tcPr>
            <w:tcW w:w="4994" w:type="dxa"/>
            <w:vAlign w:val="center"/>
          </w:tcPr>
          <w:p>
            <w:pPr>
              <w:pStyle w:val="122"/>
              <w:rPr>
                <w:rFonts w:ascii="宋体" w:hAnsi="宋体" w:cs="宋体"/>
                <w:szCs w:val="21"/>
              </w:rPr>
            </w:pPr>
            <w:r>
              <w:rPr>
                <w:rFonts w:hint="eastAsia" w:ascii="宋体" w:hAnsi="宋体" w:cs="宋体"/>
                <w:szCs w:val="21"/>
              </w:rPr>
              <w:t>报价文件副本份数：</w:t>
            </w:r>
            <w:r>
              <w:rPr>
                <w:rFonts w:hint="eastAsia" w:ascii="宋体" w:hAnsi="宋体" w:cs="宋体"/>
                <w:b/>
                <w:szCs w:val="21"/>
                <w:u w:val="single"/>
              </w:rPr>
              <w:t xml:space="preserve"> 1 </w:t>
            </w:r>
            <w:r>
              <w:rPr>
                <w:rFonts w:hint="eastAsia" w:ascii="宋体" w:hAnsi="宋体" w:cs="宋体"/>
                <w:b/>
                <w:szCs w:val="21"/>
              </w:rPr>
              <w:t xml:space="preserve"> </w:t>
            </w:r>
          </w:p>
          <w:p>
            <w:pPr>
              <w:pStyle w:val="122"/>
              <w:rPr>
                <w:rFonts w:ascii="宋体" w:hAnsi="宋体" w:cs="宋体"/>
                <w:szCs w:val="21"/>
                <w:u w:val="single"/>
              </w:rPr>
            </w:pPr>
            <w:r>
              <w:rPr>
                <w:rFonts w:hint="eastAsia" w:ascii="宋体" w:hAnsi="宋体" w:cs="宋体"/>
                <w:szCs w:val="21"/>
              </w:rPr>
              <w:t>是否要求提交电子版文件：</w:t>
            </w:r>
            <w:r>
              <w:rPr>
                <w:rFonts w:hint="eastAsia" w:ascii="宋体" w:hAnsi="宋体" w:cs="宋体"/>
                <w:b/>
                <w:szCs w:val="21"/>
                <w:u w:val="single"/>
              </w:rPr>
              <w:t xml:space="preserve"> 是 </w:t>
            </w:r>
            <w:r>
              <w:rPr>
                <w:rFonts w:hint="eastAsia" w:ascii="宋体" w:hAnsi="宋体" w:cs="宋体"/>
                <w:szCs w:val="21"/>
                <w:u w:val="single"/>
              </w:rPr>
              <w:t xml:space="preserve"> </w:t>
            </w:r>
          </w:p>
          <w:p>
            <w:pPr>
              <w:pStyle w:val="122"/>
              <w:rPr>
                <w:rFonts w:ascii="宋体" w:hAnsi="宋体" w:cs="宋体"/>
                <w:szCs w:val="21"/>
              </w:rPr>
            </w:pPr>
            <w:r>
              <w:rPr>
                <w:rFonts w:hint="eastAsia" w:ascii="宋体" w:hAnsi="宋体" w:cs="宋体"/>
                <w:szCs w:val="21"/>
              </w:rPr>
              <w:t>其他要求：</w:t>
            </w:r>
            <w:r>
              <w:rPr>
                <w:rFonts w:hint="eastAsia" w:ascii="宋体" w:hAnsi="宋体" w:cs="宋体"/>
                <w:szCs w:val="21"/>
                <w:u w:val="single"/>
              </w:rPr>
              <w:t xml:space="preserve">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161" w:type="dxa"/>
            <w:vAlign w:val="center"/>
          </w:tcPr>
          <w:p>
            <w:pPr>
              <w:pStyle w:val="122"/>
              <w:jc w:val="center"/>
              <w:rPr>
                <w:rFonts w:ascii="宋体" w:hAnsi="宋体" w:cs="宋体"/>
                <w:szCs w:val="21"/>
              </w:rPr>
            </w:pPr>
            <w:r>
              <w:rPr>
                <w:rFonts w:hint="eastAsia" w:ascii="宋体" w:hAnsi="宋体" w:cs="宋体"/>
                <w:szCs w:val="21"/>
              </w:rPr>
              <w:t>3.7.4</w:t>
            </w:r>
          </w:p>
        </w:tc>
        <w:tc>
          <w:tcPr>
            <w:tcW w:w="2872" w:type="dxa"/>
            <w:vAlign w:val="center"/>
          </w:tcPr>
          <w:p>
            <w:pPr>
              <w:pStyle w:val="122"/>
              <w:rPr>
                <w:rFonts w:ascii="宋体" w:hAnsi="宋体" w:cs="宋体"/>
                <w:szCs w:val="21"/>
              </w:rPr>
            </w:pPr>
            <w:r>
              <w:rPr>
                <w:rFonts w:hint="eastAsia" w:ascii="宋体" w:hAnsi="宋体" w:cs="宋体"/>
                <w:szCs w:val="21"/>
              </w:rPr>
              <w:t>报价文件正本和副本标记</w:t>
            </w:r>
          </w:p>
        </w:tc>
        <w:tc>
          <w:tcPr>
            <w:tcW w:w="4994" w:type="dxa"/>
            <w:vAlign w:val="center"/>
          </w:tcPr>
          <w:p>
            <w:pPr>
              <w:pStyle w:val="122"/>
              <w:rPr>
                <w:rFonts w:ascii="宋体" w:hAnsi="宋体" w:cs="宋体"/>
                <w:szCs w:val="21"/>
              </w:rPr>
            </w:pPr>
            <w:r>
              <w:rPr>
                <w:rFonts w:hint="eastAsia" w:ascii="宋体" w:hAnsi="宋体" w:cs="宋体"/>
                <w:szCs w:val="21"/>
              </w:rPr>
              <w:t>正本和副本的封面右上角应清楚地标记“正本”或“副本”的字样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161" w:type="dxa"/>
            <w:vAlign w:val="center"/>
          </w:tcPr>
          <w:p>
            <w:pPr>
              <w:pStyle w:val="122"/>
              <w:jc w:val="center"/>
              <w:rPr>
                <w:rFonts w:ascii="宋体" w:hAnsi="宋体" w:cs="宋体"/>
                <w:szCs w:val="21"/>
              </w:rPr>
            </w:pPr>
            <w:r>
              <w:rPr>
                <w:rFonts w:hint="eastAsia" w:ascii="宋体" w:hAnsi="宋体" w:cs="宋体"/>
                <w:szCs w:val="21"/>
              </w:rPr>
              <w:t>增3.7.6</w:t>
            </w:r>
          </w:p>
        </w:tc>
        <w:tc>
          <w:tcPr>
            <w:tcW w:w="2872" w:type="dxa"/>
            <w:vAlign w:val="center"/>
          </w:tcPr>
          <w:p>
            <w:pPr>
              <w:pStyle w:val="122"/>
              <w:rPr>
                <w:rFonts w:ascii="宋体" w:hAnsi="宋体" w:cs="宋体"/>
                <w:szCs w:val="21"/>
              </w:rPr>
            </w:pPr>
            <w:r>
              <w:rPr>
                <w:rFonts w:hint="eastAsia" w:ascii="宋体" w:hAnsi="宋体" w:cs="宋体"/>
                <w:szCs w:val="21"/>
              </w:rPr>
              <w:t>电子版文件编制要求</w:t>
            </w:r>
          </w:p>
        </w:tc>
        <w:tc>
          <w:tcPr>
            <w:tcW w:w="4994" w:type="dxa"/>
            <w:vAlign w:val="center"/>
          </w:tcPr>
          <w:p>
            <w:pPr>
              <w:pStyle w:val="122"/>
              <w:rPr>
                <w:rFonts w:ascii="宋体" w:hAnsi="宋体" w:cs="宋体"/>
                <w:szCs w:val="21"/>
              </w:rPr>
            </w:pPr>
            <w:r>
              <w:rPr>
                <w:rFonts w:hint="eastAsia" w:ascii="宋体" w:hAnsi="宋体" w:cs="宋体"/>
                <w:szCs w:val="21"/>
              </w:rPr>
              <w:t>电子版文件编制要求内容：</w:t>
            </w:r>
          </w:p>
          <w:p>
            <w:pPr>
              <w:pStyle w:val="122"/>
              <w:rPr>
                <w:rFonts w:ascii="宋体" w:hAnsi="宋体" w:cs="宋体"/>
                <w:szCs w:val="21"/>
              </w:rPr>
            </w:pPr>
            <w:r>
              <w:rPr>
                <w:rFonts w:hint="eastAsia" w:ascii="宋体" w:hAnsi="宋体" w:cs="宋体"/>
                <w:szCs w:val="21"/>
              </w:rPr>
              <w:t>1.报价文件(word格式)；</w:t>
            </w:r>
          </w:p>
          <w:p>
            <w:pPr>
              <w:pStyle w:val="122"/>
              <w:rPr>
                <w:rFonts w:ascii="宋体" w:hAnsi="宋体" w:cs="宋体"/>
                <w:szCs w:val="21"/>
              </w:rPr>
            </w:pPr>
            <w:r>
              <w:rPr>
                <w:rFonts w:hint="eastAsia" w:ascii="宋体" w:hAnsi="宋体" w:cs="宋体"/>
                <w:szCs w:val="21"/>
              </w:rPr>
              <w:t>2.投标人填写的工程量清单电子文件。</w:t>
            </w:r>
          </w:p>
          <w:p>
            <w:pPr>
              <w:pStyle w:val="122"/>
              <w:rPr>
                <w:rFonts w:ascii="宋体" w:hAnsi="宋体" w:cs="宋体"/>
                <w:szCs w:val="21"/>
              </w:rPr>
            </w:pPr>
            <w:r>
              <w:rPr>
                <w:rFonts w:hint="eastAsia" w:ascii="宋体" w:hAnsi="宋体" w:cs="宋体"/>
                <w:szCs w:val="21"/>
              </w:rPr>
              <w:t>将上述2个文件存入信封U盘中。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161" w:type="dxa"/>
            <w:vAlign w:val="center"/>
          </w:tcPr>
          <w:p>
            <w:pPr>
              <w:spacing w:line="400" w:lineRule="atLeast"/>
              <w:jc w:val="center"/>
              <w:rPr>
                <w:rFonts w:ascii="宋体" w:hAnsi="宋体" w:cs="宋体"/>
                <w:szCs w:val="21"/>
              </w:rPr>
            </w:pPr>
            <w:r>
              <w:rPr>
                <w:rFonts w:hint="eastAsia" w:ascii="宋体" w:hAnsi="宋体" w:cs="宋体"/>
                <w:szCs w:val="21"/>
              </w:rPr>
              <w:t>3.6</w:t>
            </w:r>
          </w:p>
        </w:tc>
        <w:tc>
          <w:tcPr>
            <w:tcW w:w="2872" w:type="dxa"/>
            <w:vAlign w:val="center"/>
          </w:tcPr>
          <w:p>
            <w:pPr>
              <w:spacing w:line="400" w:lineRule="atLeast"/>
              <w:jc w:val="center"/>
              <w:rPr>
                <w:rFonts w:ascii="宋体" w:hAnsi="宋体" w:cs="宋体"/>
                <w:szCs w:val="21"/>
              </w:rPr>
            </w:pPr>
            <w:r>
              <w:rPr>
                <w:rFonts w:hint="eastAsia" w:ascii="宋体" w:hAnsi="宋体" w:cs="宋体"/>
                <w:szCs w:val="21"/>
              </w:rPr>
              <w:t>是否允许递交备选报价方案</w:t>
            </w:r>
          </w:p>
        </w:tc>
        <w:tc>
          <w:tcPr>
            <w:tcW w:w="4994" w:type="dxa"/>
            <w:vAlign w:val="center"/>
          </w:tcPr>
          <w:p>
            <w:pPr>
              <w:spacing w:line="400" w:lineRule="atLeas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4"/>
                <w:sz w:val="31"/>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szCs w:val="21"/>
              </w:rPr>
              <w:t>不允许</w:t>
            </w:r>
          </w:p>
          <w:p>
            <w:pPr>
              <w:spacing w:line="400" w:lineRule="atLeast"/>
              <w:rPr>
                <w:rFonts w:ascii="宋体" w:hAnsi="宋体" w:cs="宋体"/>
                <w:szCs w:val="21"/>
                <w:u w:val="single"/>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161" w:type="dxa"/>
            <w:vAlign w:val="center"/>
          </w:tcPr>
          <w:p>
            <w:pPr>
              <w:pStyle w:val="122"/>
              <w:jc w:val="center"/>
              <w:rPr>
                <w:rFonts w:ascii="宋体" w:hAnsi="宋体" w:cs="宋体"/>
                <w:color w:val="000000" w:themeColor="text1"/>
                <w:szCs w:val="21"/>
              </w:rPr>
            </w:pPr>
            <w:r>
              <w:rPr>
                <w:rFonts w:hint="eastAsia" w:ascii="宋体" w:hAnsi="宋体" w:cs="宋体"/>
                <w:color w:val="000000" w:themeColor="text1"/>
                <w:szCs w:val="21"/>
              </w:rPr>
              <w:t>4.2.3</w:t>
            </w:r>
          </w:p>
        </w:tc>
        <w:tc>
          <w:tcPr>
            <w:tcW w:w="2872" w:type="dxa"/>
            <w:vAlign w:val="center"/>
          </w:tcPr>
          <w:p>
            <w:pPr>
              <w:pStyle w:val="122"/>
              <w:rPr>
                <w:rFonts w:ascii="宋体" w:hAnsi="宋体" w:cs="宋体"/>
                <w:color w:val="000000" w:themeColor="text1"/>
                <w:szCs w:val="21"/>
              </w:rPr>
            </w:pPr>
            <w:r>
              <w:rPr>
                <w:rFonts w:hint="eastAsia" w:ascii="宋体" w:hAnsi="宋体" w:cs="宋体"/>
                <w:color w:val="000000" w:themeColor="text1"/>
                <w:szCs w:val="21"/>
              </w:rPr>
              <w:t>是否退还响应文件</w:t>
            </w:r>
          </w:p>
        </w:tc>
        <w:tc>
          <w:tcPr>
            <w:tcW w:w="4994" w:type="dxa"/>
            <w:vAlign w:val="center"/>
          </w:tcPr>
          <w:p>
            <w:pPr>
              <w:pStyle w:val="122"/>
              <w:rPr>
                <w:rFonts w:hint="eastAsia" w:ascii="宋体" w:hAnsi="宋体" w:eastAsia="宋体" w:cs="宋体"/>
                <w:color w:val="000000" w:themeColor="text1"/>
                <w:szCs w:val="21"/>
                <w:lang w:eastAsia="zh-CN"/>
              </w:rPr>
            </w:pPr>
            <w:r>
              <w:rPr>
                <w:rFonts w:hint="eastAsia" w:ascii="宋体" w:hAnsi="宋体" w:cs="宋体"/>
                <w:color w:val="000000" w:themeColor="text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161" w:type="dxa"/>
            <w:vAlign w:val="center"/>
          </w:tcPr>
          <w:p>
            <w:pPr>
              <w:pStyle w:val="122"/>
              <w:jc w:val="center"/>
              <w:rPr>
                <w:rFonts w:ascii="宋体" w:hAnsi="宋体" w:cs="宋体"/>
                <w:szCs w:val="21"/>
              </w:rPr>
            </w:pPr>
            <w:r>
              <w:rPr>
                <w:rFonts w:hint="eastAsia" w:ascii="宋体" w:hAnsi="宋体" w:cs="宋体"/>
                <w:szCs w:val="21"/>
              </w:rPr>
              <w:t>7.3.1</w:t>
            </w:r>
          </w:p>
        </w:tc>
        <w:tc>
          <w:tcPr>
            <w:tcW w:w="2872" w:type="dxa"/>
            <w:vAlign w:val="center"/>
          </w:tcPr>
          <w:p>
            <w:pPr>
              <w:pStyle w:val="122"/>
              <w:rPr>
                <w:rFonts w:ascii="宋体" w:hAnsi="宋体" w:cs="宋体"/>
                <w:szCs w:val="21"/>
              </w:rPr>
            </w:pPr>
            <w:r>
              <w:rPr>
                <w:rFonts w:hint="eastAsia" w:ascii="宋体" w:hAnsi="宋体" w:cs="宋体"/>
                <w:szCs w:val="21"/>
              </w:rPr>
              <w:t>履约保证金</w:t>
            </w:r>
          </w:p>
        </w:tc>
        <w:tc>
          <w:tcPr>
            <w:tcW w:w="4994" w:type="dxa"/>
            <w:vAlign w:val="center"/>
          </w:tcPr>
          <w:p>
            <w:pPr>
              <w:pStyle w:val="122"/>
              <w:rPr>
                <w:rFonts w:ascii="宋体" w:hAnsi="宋体" w:cs="宋体"/>
                <w:szCs w:val="21"/>
              </w:rPr>
            </w:pPr>
            <w:r>
              <w:rPr>
                <w:rFonts w:hint="eastAsia" w:ascii="宋体" w:hAnsi="宋体" w:cs="宋体"/>
                <w:szCs w:val="21"/>
              </w:rPr>
              <w:t>是否要求中标人提交履约保证金：</w:t>
            </w:r>
          </w:p>
          <w:p>
            <w:pPr>
              <w:pStyle w:val="122"/>
              <w:rPr>
                <w:rFonts w:hint="eastAsia" w:ascii="宋体" w:hAnsi="宋体" w:eastAsia="宋体" w:cs="宋体"/>
                <w:szCs w:val="21"/>
                <w:lang w:eastAsia="zh-CN"/>
              </w:rPr>
            </w:pPr>
            <w:r>
              <w:rPr>
                <w:rFonts w:hint="eastAsia" w:ascii="宋体" w:hAnsi="宋体" w:cs="宋体"/>
                <w:szCs w:val="21"/>
              </w:rPr>
              <w:sym w:font="Wingdings" w:char="00FE"/>
            </w:r>
            <w:r>
              <w:rPr>
                <w:rFonts w:hint="eastAsia" w:ascii="宋体" w:hAnsi="宋体" w:cs="宋体"/>
                <w:szCs w:val="21"/>
                <w:lang w:eastAsia="zh-CN"/>
              </w:rPr>
              <w:t>要求，履约保证壹仟伍佰元整（￥</w:t>
            </w:r>
            <w:r>
              <w:rPr>
                <w:rFonts w:hint="eastAsia" w:ascii="宋体" w:hAnsi="宋体" w:cs="宋体"/>
                <w:szCs w:val="21"/>
                <w:lang w:val="en-US" w:eastAsia="zh-CN"/>
              </w:rPr>
              <w:t>15000.00元</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9027" w:type="dxa"/>
            <w:gridSpan w:val="3"/>
            <w:vAlign w:val="center"/>
          </w:tcPr>
          <w:p>
            <w:pPr>
              <w:rPr>
                <w:rFonts w:ascii="宋体" w:hAnsi="宋体" w:cs="宋体"/>
                <w:color w:val="0000FF"/>
                <w:szCs w:val="21"/>
              </w:rPr>
            </w:pPr>
            <w:r>
              <w:rPr>
                <w:rFonts w:hint="eastAsia" w:ascii="宋体" w:hAnsi="宋体" w:cs="宋体"/>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4033" w:type="dxa"/>
            <w:gridSpan w:val="2"/>
            <w:vAlign w:val="center"/>
          </w:tcPr>
          <w:p>
            <w:pPr>
              <w:pStyle w:val="122"/>
              <w:jc w:val="center"/>
              <w:rPr>
                <w:rFonts w:ascii="宋体" w:hAnsi="宋体" w:cs="宋体"/>
                <w:color w:val="0000FF"/>
                <w:szCs w:val="21"/>
              </w:rPr>
            </w:pPr>
            <w:r>
              <w:rPr>
                <w:rFonts w:hint="eastAsia" w:ascii="宋体" w:hAnsi="宋体" w:cs="宋体"/>
                <w:szCs w:val="21"/>
              </w:rPr>
              <w:t>10.1</w:t>
            </w:r>
          </w:p>
        </w:tc>
        <w:tc>
          <w:tcPr>
            <w:tcW w:w="4994" w:type="dxa"/>
            <w:vAlign w:val="center"/>
          </w:tcPr>
          <w:p>
            <w:pPr>
              <w:pStyle w:val="122"/>
              <w:rPr>
                <w:rFonts w:ascii="宋体" w:hAnsi="宋体" w:cs="宋体"/>
                <w:color w:val="0000FF"/>
                <w:szCs w:val="21"/>
              </w:rPr>
            </w:pPr>
            <w:r>
              <w:rPr>
                <w:rFonts w:hint="eastAsia" w:ascii="宋体" w:hAnsi="宋体" w:cs="宋体"/>
                <w:szCs w:val="21"/>
              </w:rPr>
              <w:t>自购买询价文件之日起，报价人应保证其提供的联系方式（电话、传真、 电子邮件）一直有效，以便及时收到询价人发出的函件（询价文件的澄清、修改等）, 并应及时向询价人反馈信息，否则询价人不承担由此引起的一切后果。</w:t>
            </w:r>
          </w:p>
        </w:tc>
      </w:tr>
    </w:tbl>
    <w:p>
      <w:pPr>
        <w:rPr>
          <w:rFonts w:ascii="黑体" w:hAnsi="黑体" w:cs="黑体"/>
          <w:sz w:val="28"/>
          <w:szCs w:val="28"/>
        </w:rPr>
      </w:pPr>
    </w:p>
    <w:p>
      <w:pPr>
        <w:snapToGrid w:val="0"/>
        <w:spacing w:line="360" w:lineRule="auto"/>
        <w:jc w:val="center"/>
      </w:pPr>
      <w:r>
        <w:rPr>
          <w:rFonts w:eastAsia="黑体"/>
          <w:sz w:val="24"/>
        </w:rPr>
        <w:t>附录1 资格审查条件</w:t>
      </w:r>
      <w:r>
        <w:rPr>
          <w:sz w:val="22"/>
        </w:rPr>
        <w:t>（资质最低要求）</w:t>
      </w:r>
    </w:p>
    <w:tbl>
      <w:tblPr>
        <w:tblStyle w:val="52"/>
        <w:tblW w:w="9171"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171"/>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94" w:hRule="atLeast"/>
        </w:trPr>
        <w:tc>
          <w:tcPr>
            <w:tcW w:w="9171" w:type="dxa"/>
            <w:tcBorders>
              <w:tl2br w:val="nil"/>
              <w:tr2bl w:val="nil"/>
            </w:tcBorders>
            <w:vAlign w:val="center"/>
          </w:tcPr>
          <w:p>
            <w:pPr>
              <w:spacing w:line="400" w:lineRule="exact"/>
              <w:jc w:val="center"/>
            </w:pPr>
            <w:r>
              <w:rPr>
                <w:sz w:val="22"/>
              </w:rPr>
              <w:t>资 质 要 求</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2625" w:hRule="atLeast"/>
        </w:trPr>
        <w:tc>
          <w:tcPr>
            <w:tcW w:w="9171" w:type="dxa"/>
            <w:tcBorders>
              <w:tl2br w:val="nil"/>
              <w:tr2bl w:val="nil"/>
            </w:tcBorders>
          </w:tcPr>
          <w:p>
            <w:pPr>
              <w:spacing w:line="360" w:lineRule="auto"/>
              <w:rPr>
                <w:sz w:val="22"/>
                <w:szCs w:val="21"/>
              </w:rPr>
            </w:pPr>
            <w:r>
              <w:rPr>
                <w:sz w:val="22"/>
                <w:szCs w:val="21"/>
              </w:rPr>
              <w:t>1、具备独立法人资格，具有工商管理部门颁发的有效的营业执照。</w:t>
            </w:r>
          </w:p>
          <w:p>
            <w:pPr>
              <w:spacing w:line="360" w:lineRule="auto"/>
              <w:rPr>
                <w:sz w:val="22"/>
                <w:szCs w:val="21"/>
                <w:highlight w:val="none"/>
              </w:rPr>
            </w:pPr>
            <w:r>
              <w:rPr>
                <w:sz w:val="22"/>
                <w:szCs w:val="21"/>
                <w:highlight w:val="none"/>
              </w:rPr>
              <w:t>2、具备建设行政主管部门颁发的有效的建筑施工企业安全生产许可证。</w:t>
            </w:r>
          </w:p>
          <w:p>
            <w:pPr>
              <w:spacing w:line="360" w:lineRule="auto"/>
              <w:rPr>
                <w:szCs w:val="21"/>
              </w:rPr>
            </w:pPr>
            <w:r>
              <w:rPr>
                <w:rFonts w:hint="eastAsia"/>
                <w:sz w:val="22"/>
                <w:szCs w:val="21"/>
                <w:highlight w:val="none"/>
              </w:rPr>
              <w:t>3、具备钢结构工程专业承包</w:t>
            </w:r>
            <w:r>
              <w:rPr>
                <w:rFonts w:hint="eastAsia"/>
                <w:sz w:val="22"/>
                <w:szCs w:val="21"/>
                <w:highlight w:val="none"/>
                <w:lang w:eastAsia="zh-CN"/>
              </w:rPr>
              <w:t>三</w:t>
            </w:r>
            <w:r>
              <w:rPr>
                <w:rFonts w:hint="eastAsia"/>
                <w:sz w:val="22"/>
                <w:szCs w:val="21"/>
                <w:highlight w:val="none"/>
              </w:rPr>
              <w:t>级</w:t>
            </w:r>
            <w:r>
              <w:rPr>
                <w:rFonts w:hint="eastAsia"/>
                <w:sz w:val="22"/>
                <w:szCs w:val="21"/>
                <w:highlight w:val="none"/>
                <w:lang w:val="en-US" w:eastAsia="zh-CN"/>
              </w:rPr>
              <w:t>及</w:t>
            </w:r>
            <w:r>
              <w:rPr>
                <w:rFonts w:hint="eastAsia"/>
                <w:sz w:val="22"/>
                <w:szCs w:val="21"/>
                <w:highlight w:val="none"/>
              </w:rPr>
              <w:t>以上资质。</w:t>
            </w:r>
          </w:p>
        </w:tc>
      </w:tr>
    </w:tbl>
    <w:p>
      <w:pPr>
        <w:spacing w:beforeLines="50" w:afterLines="100" w:line="400" w:lineRule="exact"/>
        <w:jc w:val="center"/>
      </w:pPr>
      <w:r>
        <w:rPr>
          <w:rFonts w:eastAsia="黑体"/>
          <w:sz w:val="24"/>
        </w:rPr>
        <w:t>附录2 资格审查条件</w:t>
      </w:r>
      <w:r>
        <w:rPr>
          <w:sz w:val="22"/>
        </w:rPr>
        <w:t>（财务最低要求）</w:t>
      </w:r>
    </w:p>
    <w:tbl>
      <w:tblPr>
        <w:tblStyle w:val="52"/>
        <w:tblW w:w="9165"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165"/>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94" w:hRule="atLeast"/>
        </w:trPr>
        <w:tc>
          <w:tcPr>
            <w:tcW w:w="9165" w:type="dxa"/>
            <w:tcBorders>
              <w:tl2br w:val="nil"/>
              <w:tr2bl w:val="nil"/>
            </w:tcBorders>
            <w:vAlign w:val="center"/>
          </w:tcPr>
          <w:p>
            <w:pPr>
              <w:spacing w:line="400" w:lineRule="exact"/>
              <w:jc w:val="center"/>
            </w:pPr>
            <w:r>
              <w:rPr>
                <w:sz w:val="22"/>
              </w:rPr>
              <w:t>财 务 要 求</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2203" w:hRule="atLeast"/>
        </w:trPr>
        <w:tc>
          <w:tcPr>
            <w:tcW w:w="9165" w:type="dxa"/>
            <w:tcBorders>
              <w:tl2br w:val="nil"/>
              <w:tr2bl w:val="nil"/>
            </w:tcBorders>
          </w:tcPr>
          <w:p>
            <w:pPr>
              <w:spacing w:line="400" w:lineRule="exact"/>
              <w:rPr>
                <w:sz w:val="22"/>
              </w:rPr>
            </w:pPr>
          </w:p>
          <w:p>
            <w:pPr>
              <w:spacing w:line="400" w:lineRule="exact"/>
              <w:ind w:firstLine="220" w:firstLineChars="100"/>
            </w:pPr>
            <w:r>
              <w:rPr>
                <w:rFonts w:hint="eastAsia"/>
                <w:sz w:val="22"/>
              </w:rPr>
              <w:t xml:space="preserve">                                  无</w:t>
            </w:r>
          </w:p>
        </w:tc>
      </w:tr>
    </w:tbl>
    <w:p>
      <w:pPr>
        <w:spacing w:beforeLines="50" w:afterLines="100" w:line="400" w:lineRule="exact"/>
        <w:jc w:val="center"/>
      </w:pPr>
      <w:r>
        <w:rPr>
          <w:rFonts w:eastAsia="黑体"/>
          <w:sz w:val="24"/>
        </w:rPr>
        <w:t>附录3 资格审查条件</w:t>
      </w:r>
      <w:r>
        <w:rPr>
          <w:sz w:val="22"/>
        </w:rPr>
        <w:t>（业绩最低要求）</w:t>
      </w:r>
    </w:p>
    <w:tbl>
      <w:tblPr>
        <w:tblStyle w:val="52"/>
        <w:tblW w:w="9135"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135"/>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521" w:hRule="atLeast"/>
        </w:trPr>
        <w:tc>
          <w:tcPr>
            <w:tcW w:w="9135" w:type="dxa"/>
            <w:tcBorders>
              <w:tl2br w:val="nil"/>
              <w:tr2bl w:val="nil"/>
            </w:tcBorders>
            <w:vAlign w:val="center"/>
          </w:tcPr>
          <w:p>
            <w:pPr>
              <w:spacing w:line="400" w:lineRule="exact"/>
              <w:jc w:val="center"/>
            </w:pPr>
            <w:r>
              <w:rPr>
                <w:sz w:val="22"/>
              </w:rPr>
              <w:t>业 绩 要 求</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70" w:hRule="atLeast"/>
        </w:trPr>
        <w:tc>
          <w:tcPr>
            <w:tcW w:w="9135" w:type="dxa"/>
            <w:tcBorders>
              <w:tl2br w:val="nil"/>
              <w:tr2bl w:val="nil"/>
            </w:tcBorders>
            <w:vAlign w:val="center"/>
          </w:tcPr>
          <w:p>
            <w:pPr>
              <w:spacing w:line="400" w:lineRule="exact"/>
              <w:ind w:firstLine="330" w:firstLineChars="150"/>
              <w:rPr>
                <w:rFonts w:hint="eastAsia" w:eastAsia="宋体"/>
                <w:sz w:val="22"/>
                <w:szCs w:val="21"/>
                <w:highlight w:val="none"/>
                <w:lang w:eastAsia="zh-CN"/>
              </w:rPr>
            </w:pPr>
            <w:r>
              <w:rPr>
                <w:rFonts w:hint="eastAsia"/>
                <w:sz w:val="22"/>
                <w:szCs w:val="21"/>
                <w:highlight w:val="none"/>
              </w:rPr>
              <w:t xml:space="preserve"> 近</w:t>
            </w:r>
            <w:r>
              <w:rPr>
                <w:sz w:val="22"/>
                <w:szCs w:val="21"/>
                <w:highlight w:val="none"/>
                <w:u w:val="single"/>
              </w:rPr>
              <w:t>5</w:t>
            </w:r>
            <w:r>
              <w:rPr>
                <w:rFonts w:hint="eastAsia"/>
                <w:sz w:val="22"/>
                <w:szCs w:val="21"/>
                <w:highlight w:val="none"/>
              </w:rPr>
              <w:t>年</w:t>
            </w:r>
            <w:r>
              <w:rPr>
                <w:rFonts w:hint="eastAsia"/>
                <w:sz w:val="22"/>
                <w:highlight w:val="none"/>
              </w:rPr>
              <w:t>（</w:t>
            </w:r>
            <w:r>
              <w:rPr>
                <w:sz w:val="22"/>
                <w:szCs w:val="22"/>
                <w:highlight w:val="none"/>
                <w:u w:val="single"/>
              </w:rPr>
              <w:t xml:space="preserve">   2014   </w:t>
            </w:r>
            <w:r>
              <w:rPr>
                <w:rFonts w:hint="eastAsia"/>
                <w:sz w:val="22"/>
                <w:highlight w:val="none"/>
              </w:rPr>
              <w:t>年</w:t>
            </w:r>
            <w:r>
              <w:rPr>
                <w:sz w:val="22"/>
                <w:highlight w:val="none"/>
                <w:u w:val="single"/>
              </w:rPr>
              <w:t xml:space="preserve"> 1 </w:t>
            </w:r>
            <w:r>
              <w:rPr>
                <w:rFonts w:hint="eastAsia"/>
                <w:sz w:val="22"/>
                <w:highlight w:val="none"/>
              </w:rPr>
              <w:t>月</w:t>
            </w:r>
            <w:r>
              <w:rPr>
                <w:sz w:val="22"/>
                <w:highlight w:val="none"/>
                <w:u w:val="single"/>
              </w:rPr>
              <w:t xml:space="preserve"> 1 </w:t>
            </w:r>
            <w:r>
              <w:rPr>
                <w:rFonts w:hint="eastAsia"/>
                <w:sz w:val="22"/>
                <w:highlight w:val="none"/>
              </w:rPr>
              <w:t>日至今，以完工时间为准）承担过</w:t>
            </w:r>
            <w:r>
              <w:rPr>
                <w:sz w:val="22"/>
                <w:highlight w:val="none"/>
              </w:rPr>
              <w:t>1</w:t>
            </w:r>
            <w:r>
              <w:rPr>
                <w:rFonts w:hint="eastAsia"/>
                <w:sz w:val="22"/>
                <w:highlight w:val="none"/>
              </w:rPr>
              <w:t>个单项合同金额不少于1</w:t>
            </w:r>
            <w:r>
              <w:rPr>
                <w:sz w:val="22"/>
                <w:highlight w:val="none"/>
              </w:rPr>
              <w:t>00</w:t>
            </w:r>
            <w:r>
              <w:rPr>
                <w:rFonts w:hint="eastAsia"/>
                <w:sz w:val="22"/>
                <w:highlight w:val="none"/>
              </w:rPr>
              <w:t>万</w:t>
            </w:r>
            <w:r>
              <w:rPr>
                <w:rFonts w:hint="eastAsia"/>
                <w:sz w:val="22"/>
                <w:highlight w:val="none"/>
                <w:lang w:val="en-US" w:eastAsia="zh-CN"/>
              </w:rPr>
              <w:t>元</w:t>
            </w:r>
            <w:r>
              <w:rPr>
                <w:rFonts w:hint="eastAsia"/>
                <w:sz w:val="22"/>
                <w:highlight w:val="none"/>
              </w:rPr>
              <w:t>的钢结构安装或拆除施工</w:t>
            </w:r>
            <w:r>
              <w:rPr>
                <w:rFonts w:hint="eastAsia"/>
                <w:sz w:val="22"/>
                <w:highlight w:val="none"/>
                <w:lang w:eastAsia="zh-CN"/>
              </w:rPr>
              <w:t>。</w:t>
            </w:r>
          </w:p>
          <w:p>
            <w:pPr>
              <w:pStyle w:val="2"/>
              <w:rPr>
                <w:sz w:val="22"/>
                <w:szCs w:val="21"/>
              </w:rPr>
            </w:pPr>
          </w:p>
          <w:p>
            <w:pPr>
              <w:spacing w:line="400" w:lineRule="exact"/>
              <w:ind w:firstLine="330" w:firstLineChars="150"/>
              <w:rPr>
                <w:sz w:val="22"/>
                <w:szCs w:val="21"/>
              </w:rPr>
            </w:pPr>
          </w:p>
        </w:tc>
      </w:tr>
    </w:tbl>
    <w:p>
      <w:pPr>
        <w:spacing w:beforeLines="50" w:afterLines="100" w:line="400" w:lineRule="exact"/>
      </w:pPr>
      <w:r>
        <w:rPr>
          <w:sz w:val="22"/>
        </w:rPr>
        <w:br w:type="page"/>
      </w:r>
      <w:r>
        <w:rPr>
          <w:rFonts w:eastAsia="黑体"/>
          <w:sz w:val="24"/>
        </w:rPr>
        <w:t>附录4 资格审查条件</w:t>
      </w:r>
      <w:r>
        <w:rPr>
          <w:sz w:val="22"/>
        </w:rPr>
        <w:t>（信誉最低要求）</w:t>
      </w:r>
    </w:p>
    <w:tbl>
      <w:tblPr>
        <w:tblStyle w:val="52"/>
        <w:tblW w:w="9186"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186"/>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94" w:hRule="atLeast"/>
        </w:trPr>
        <w:tc>
          <w:tcPr>
            <w:tcW w:w="9186" w:type="dxa"/>
            <w:tcBorders>
              <w:tl2br w:val="nil"/>
              <w:tr2bl w:val="nil"/>
            </w:tcBorders>
            <w:vAlign w:val="center"/>
          </w:tcPr>
          <w:p>
            <w:pPr>
              <w:spacing w:line="400" w:lineRule="exact"/>
              <w:jc w:val="center"/>
            </w:pPr>
            <w:r>
              <w:rPr>
                <w:sz w:val="22"/>
              </w:rPr>
              <w:t>信 誉 要 求</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5321" w:hRule="atLeast"/>
        </w:trPr>
        <w:tc>
          <w:tcPr>
            <w:tcW w:w="9186" w:type="dxa"/>
            <w:tcBorders>
              <w:tl2br w:val="nil"/>
              <w:tr2bl w:val="nil"/>
            </w:tcBorders>
          </w:tcPr>
          <w:p>
            <w:pPr>
              <w:spacing w:line="400" w:lineRule="exact"/>
              <w:ind w:firstLine="220" w:firstLineChars="100"/>
              <w:rPr>
                <w:sz w:val="22"/>
                <w:szCs w:val="21"/>
              </w:rPr>
            </w:pPr>
            <w:r>
              <w:rPr>
                <w:sz w:val="22"/>
                <w:szCs w:val="21"/>
              </w:rPr>
              <w:t>1.没有被交通运输部或安徽省交通运输厅取消在安徽省的报价资格或禁止进入安徽省公路建设市场且处于有效期内的。</w:t>
            </w:r>
          </w:p>
          <w:p>
            <w:pPr>
              <w:spacing w:line="400" w:lineRule="exact"/>
              <w:ind w:firstLine="220" w:firstLineChars="100"/>
              <w:rPr>
                <w:sz w:val="22"/>
                <w:szCs w:val="21"/>
              </w:rPr>
            </w:pPr>
            <w:r>
              <w:rPr>
                <w:sz w:val="22"/>
                <w:szCs w:val="21"/>
              </w:rPr>
              <w:t>2.没有被责令停业，暂扣或吊销执照，或吊销资质证书。</w:t>
            </w:r>
          </w:p>
          <w:p>
            <w:pPr>
              <w:spacing w:line="400" w:lineRule="exact"/>
              <w:ind w:firstLine="220" w:firstLineChars="100"/>
              <w:rPr>
                <w:sz w:val="22"/>
                <w:szCs w:val="21"/>
              </w:rPr>
            </w:pPr>
            <w:r>
              <w:rPr>
                <w:sz w:val="22"/>
                <w:szCs w:val="21"/>
              </w:rPr>
              <w:t>3.没有进入清算程序，或被宣告破产，或其他丧失履约能力的情形。</w:t>
            </w:r>
          </w:p>
          <w:p>
            <w:pPr>
              <w:spacing w:line="400" w:lineRule="exact"/>
              <w:ind w:firstLine="220" w:firstLineChars="100"/>
              <w:rPr>
                <w:sz w:val="22"/>
                <w:szCs w:val="21"/>
              </w:rPr>
            </w:pPr>
            <w:r>
              <w:rPr>
                <w:sz w:val="22"/>
                <w:szCs w:val="21"/>
              </w:rPr>
              <w:t>4.没有在国家企业信用信息公示系统（http://www.gsxt.gov.cn）中被列入严重违法失信企业名单。</w:t>
            </w:r>
          </w:p>
          <w:p>
            <w:pPr>
              <w:spacing w:line="400" w:lineRule="exact"/>
              <w:ind w:firstLine="220" w:firstLineChars="100"/>
              <w:rPr>
                <w:sz w:val="22"/>
                <w:szCs w:val="21"/>
              </w:rPr>
            </w:pPr>
            <w:r>
              <w:rPr>
                <w:sz w:val="22"/>
                <w:szCs w:val="21"/>
              </w:rPr>
              <w:t>5.没有</w:t>
            </w:r>
            <w:r>
              <w:fldChar w:fldCharType="begin"/>
            </w:r>
            <w:r>
              <w:instrText xml:space="preserve"> HYPERLINK "http://www.creditchina.gov.cn/" </w:instrText>
            </w:r>
            <w:r>
              <w:fldChar w:fldCharType="separate"/>
            </w:r>
            <w:r>
              <w:rPr>
                <w:sz w:val="22"/>
                <w:szCs w:val="21"/>
              </w:rPr>
              <w:t>在</w:t>
            </w:r>
            <w:r>
              <w:rPr>
                <w:rFonts w:hint="eastAsia"/>
                <w:sz w:val="22"/>
                <w:szCs w:val="21"/>
              </w:rPr>
              <w:t>“</w:t>
            </w:r>
            <w:r>
              <w:rPr>
                <w:sz w:val="22"/>
                <w:szCs w:val="21"/>
              </w:rPr>
              <w:t>信用中国</w:t>
            </w:r>
            <w:r>
              <w:rPr>
                <w:rFonts w:hint="eastAsia"/>
                <w:sz w:val="22"/>
                <w:szCs w:val="21"/>
              </w:rPr>
              <w:t>”</w:t>
            </w:r>
            <w:r>
              <w:rPr>
                <w:sz w:val="22"/>
                <w:szCs w:val="21"/>
              </w:rPr>
              <w:t>网站（http://w</w:t>
            </w:r>
            <w:r>
              <w:rPr>
                <w:sz w:val="22"/>
                <w:szCs w:val="21"/>
              </w:rPr>
              <w:fldChar w:fldCharType="end"/>
            </w:r>
            <w:r>
              <w:rPr>
                <w:sz w:val="22"/>
                <w:szCs w:val="21"/>
              </w:rPr>
              <w:t>ww.creditchina.gov.cn）中被列入失信被执行人名单。</w:t>
            </w:r>
          </w:p>
          <w:p>
            <w:pPr>
              <w:spacing w:line="400" w:lineRule="exact"/>
              <w:ind w:firstLine="220" w:firstLineChars="100"/>
              <w:rPr>
                <w:sz w:val="22"/>
                <w:szCs w:val="21"/>
              </w:rPr>
            </w:pPr>
            <w:r>
              <w:rPr>
                <w:sz w:val="22"/>
                <w:szCs w:val="21"/>
              </w:rPr>
              <w:t>6.近三年内报价人、报价人法定代表人、拟委任的项目经理在无行贿犯罪行为。</w:t>
            </w:r>
          </w:p>
          <w:p>
            <w:pPr>
              <w:spacing w:line="400" w:lineRule="exact"/>
              <w:ind w:firstLine="220" w:firstLineChars="100"/>
              <w:rPr>
                <w:sz w:val="22"/>
                <w:szCs w:val="21"/>
              </w:rPr>
            </w:pPr>
            <w:r>
              <w:rPr>
                <w:sz w:val="22"/>
                <w:szCs w:val="21"/>
              </w:rPr>
              <w:t>7.交通运输部或安徽省交通运输厅最新公布的年度公路施工企业信用评价等级为C级或D级的报价人不得参与本次报价；如在交通运输部或安徽省交通运输厅最新年度等级评价公布日期之后，被交通运输部或安徽省交通运输厅通报为C级或D级的报价人也不得参与本次报价。</w:t>
            </w:r>
          </w:p>
          <w:p>
            <w:pPr>
              <w:adjustRightInd w:val="0"/>
              <w:snapToGrid w:val="0"/>
              <w:spacing w:line="400" w:lineRule="exact"/>
              <w:ind w:firstLine="220" w:firstLineChars="100"/>
              <w:rPr>
                <w:szCs w:val="21"/>
              </w:rPr>
            </w:pPr>
            <w:r>
              <w:rPr>
                <w:sz w:val="22"/>
              </w:rPr>
              <w:t>8.</w:t>
            </w:r>
            <w:r>
              <w:rPr>
                <w:sz w:val="22"/>
                <w:szCs w:val="22"/>
              </w:rPr>
              <w:t>没有法律法规规定的其他情形。</w:t>
            </w:r>
          </w:p>
        </w:tc>
      </w:tr>
    </w:tbl>
    <w:p>
      <w:pPr>
        <w:spacing w:beforeLines="50" w:afterLines="100" w:line="400" w:lineRule="exact"/>
      </w:pPr>
      <w:r>
        <w:rPr>
          <w:rFonts w:eastAsia="黑体"/>
          <w:sz w:val="24"/>
        </w:rPr>
        <w:t>附录5 资格审查条件</w:t>
      </w:r>
      <w:r>
        <w:rPr>
          <w:sz w:val="22"/>
        </w:rPr>
        <w:t>（项目经理最低要求）</w:t>
      </w:r>
    </w:p>
    <w:tbl>
      <w:tblPr>
        <w:tblStyle w:val="52"/>
        <w:tblW w:w="916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1223"/>
        <w:gridCol w:w="58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123" w:type="dxa"/>
            <w:tcBorders>
              <w:tl2br w:val="nil"/>
              <w:tr2bl w:val="nil"/>
            </w:tcBorders>
            <w:vAlign w:val="center"/>
          </w:tcPr>
          <w:p>
            <w:pPr>
              <w:spacing w:line="400" w:lineRule="exact"/>
              <w:jc w:val="center"/>
            </w:pPr>
            <w:r>
              <w:rPr>
                <w:sz w:val="22"/>
              </w:rPr>
              <w:t>人员</w:t>
            </w:r>
          </w:p>
        </w:tc>
        <w:tc>
          <w:tcPr>
            <w:tcW w:w="1223" w:type="dxa"/>
            <w:tcBorders>
              <w:tl2br w:val="nil"/>
              <w:tr2bl w:val="nil"/>
            </w:tcBorders>
            <w:vAlign w:val="center"/>
          </w:tcPr>
          <w:p>
            <w:pPr>
              <w:spacing w:line="400" w:lineRule="exact"/>
              <w:jc w:val="center"/>
            </w:pPr>
            <w:r>
              <w:rPr>
                <w:sz w:val="22"/>
              </w:rPr>
              <w:t>数量</w:t>
            </w:r>
          </w:p>
        </w:tc>
        <w:tc>
          <w:tcPr>
            <w:tcW w:w="5819" w:type="dxa"/>
            <w:tcBorders>
              <w:tl2br w:val="nil"/>
              <w:tr2bl w:val="nil"/>
            </w:tcBorders>
            <w:vAlign w:val="center"/>
          </w:tcPr>
          <w:p>
            <w:pPr>
              <w:spacing w:line="400" w:lineRule="exact"/>
              <w:jc w:val="center"/>
            </w:pPr>
            <w:r>
              <w:rPr>
                <w:sz w:val="22"/>
              </w:rPr>
              <w:t>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2123" w:type="dxa"/>
            <w:tcBorders>
              <w:tl2br w:val="nil"/>
              <w:tr2bl w:val="nil"/>
            </w:tcBorders>
            <w:vAlign w:val="center"/>
          </w:tcPr>
          <w:p>
            <w:pPr>
              <w:spacing w:line="400" w:lineRule="exact"/>
              <w:jc w:val="center"/>
            </w:pPr>
            <w:r>
              <w:rPr>
                <w:sz w:val="22"/>
              </w:rPr>
              <w:t>项目经理</w:t>
            </w:r>
          </w:p>
        </w:tc>
        <w:tc>
          <w:tcPr>
            <w:tcW w:w="1223" w:type="dxa"/>
            <w:tcBorders>
              <w:tl2br w:val="nil"/>
              <w:tr2bl w:val="nil"/>
            </w:tcBorders>
            <w:vAlign w:val="center"/>
          </w:tcPr>
          <w:p>
            <w:pPr>
              <w:spacing w:line="400" w:lineRule="exact"/>
              <w:jc w:val="center"/>
            </w:pPr>
            <w:r>
              <w:rPr>
                <w:sz w:val="22"/>
              </w:rPr>
              <w:t>1</w:t>
            </w:r>
          </w:p>
        </w:tc>
        <w:tc>
          <w:tcPr>
            <w:tcW w:w="5819" w:type="dxa"/>
            <w:tcBorders>
              <w:tl2br w:val="nil"/>
              <w:tr2bl w:val="nil"/>
            </w:tcBorders>
            <w:vAlign w:val="center"/>
          </w:tcPr>
          <w:p>
            <w:pPr>
              <w:spacing w:line="400" w:lineRule="exact"/>
              <w:jc w:val="left"/>
              <w:rPr>
                <w:sz w:val="22"/>
              </w:rPr>
            </w:pPr>
            <w:r>
              <w:rPr>
                <w:sz w:val="22"/>
                <w:u w:val="single"/>
              </w:rPr>
              <w:t>（</w:t>
            </w:r>
            <w:r>
              <w:rPr>
                <w:rFonts w:hint="eastAsia"/>
                <w:sz w:val="22"/>
                <w:u w:val="single"/>
              </w:rPr>
              <w:t>建筑</w:t>
            </w:r>
            <w:r>
              <w:rPr>
                <w:sz w:val="22"/>
                <w:u w:val="single"/>
              </w:rPr>
              <w:t>）</w:t>
            </w:r>
            <w:r>
              <w:rPr>
                <w:sz w:val="22"/>
              </w:rPr>
              <w:t>专业注册</w:t>
            </w:r>
            <w:r>
              <w:rPr>
                <w:sz w:val="22"/>
                <w:u w:val="single"/>
              </w:rPr>
              <w:t xml:space="preserve">  </w:t>
            </w:r>
            <w:r>
              <w:rPr>
                <w:rFonts w:hint="eastAsia"/>
                <w:sz w:val="22"/>
                <w:u w:val="single"/>
              </w:rPr>
              <w:t>二</w:t>
            </w:r>
            <w:r>
              <w:rPr>
                <w:sz w:val="22"/>
                <w:u w:val="single"/>
              </w:rPr>
              <w:t xml:space="preserve">  </w:t>
            </w:r>
            <w:r>
              <w:rPr>
                <w:sz w:val="22"/>
              </w:rPr>
              <w:t>级建造师；</w:t>
            </w:r>
          </w:p>
          <w:p>
            <w:pPr>
              <w:spacing w:line="400" w:lineRule="exact"/>
              <w:jc w:val="left"/>
              <w:rPr>
                <w:sz w:val="22"/>
                <w:u w:val="single"/>
              </w:rPr>
            </w:pPr>
            <w:r>
              <w:rPr>
                <w:sz w:val="22"/>
              </w:rPr>
              <w:t>（持有有效的安全生产考核合格证书B证；</w:t>
            </w:r>
          </w:p>
          <w:p>
            <w:pPr>
              <w:spacing w:line="400" w:lineRule="exact"/>
              <w:jc w:val="left"/>
            </w:pPr>
            <w:r>
              <w:rPr>
                <w:sz w:val="22"/>
              </w:rPr>
              <w:t>（</w:t>
            </w:r>
            <w:r>
              <w:rPr>
                <w:sz w:val="22"/>
                <w:szCs w:val="21"/>
              </w:rPr>
              <w:t>近</w:t>
            </w:r>
            <w:r>
              <w:rPr>
                <w:sz w:val="22"/>
                <w:szCs w:val="21"/>
                <w:u w:val="single"/>
              </w:rPr>
              <w:t>5</w:t>
            </w:r>
            <w:r>
              <w:rPr>
                <w:sz w:val="22"/>
                <w:szCs w:val="21"/>
              </w:rPr>
              <w:t>年</w:t>
            </w:r>
            <w:r>
              <w:rPr>
                <w:sz w:val="22"/>
              </w:rPr>
              <w:t>（</w:t>
            </w:r>
            <w:r>
              <w:rPr>
                <w:sz w:val="22"/>
                <w:u w:val="single"/>
              </w:rPr>
              <w:t xml:space="preserve">  </w:t>
            </w:r>
            <w:r>
              <w:rPr>
                <w:rFonts w:hint="eastAsia"/>
                <w:sz w:val="22"/>
                <w:u w:val="single"/>
              </w:rPr>
              <w:t>2014</w:t>
            </w:r>
            <w:r>
              <w:rPr>
                <w:sz w:val="22"/>
                <w:u w:val="single"/>
              </w:rPr>
              <w:t xml:space="preserve">  </w:t>
            </w:r>
            <w:r>
              <w:rPr>
                <w:sz w:val="22"/>
              </w:rPr>
              <w:t>年</w:t>
            </w:r>
            <w:r>
              <w:rPr>
                <w:sz w:val="22"/>
                <w:u w:val="single"/>
              </w:rPr>
              <w:t xml:space="preserve"> 1 </w:t>
            </w:r>
            <w:r>
              <w:rPr>
                <w:sz w:val="22"/>
              </w:rPr>
              <w:t>月</w:t>
            </w:r>
            <w:r>
              <w:rPr>
                <w:sz w:val="22"/>
                <w:u w:val="single"/>
              </w:rPr>
              <w:t xml:space="preserve"> 1 </w:t>
            </w:r>
            <w:r>
              <w:rPr>
                <w:sz w:val="22"/>
              </w:rPr>
              <w:t>日至今）担任过</w:t>
            </w:r>
            <w:r>
              <w:rPr>
                <w:sz w:val="22"/>
                <w:u w:val="single"/>
              </w:rPr>
              <w:t xml:space="preserve"> 1 </w:t>
            </w:r>
            <w:r>
              <w:rPr>
                <w:sz w:val="22"/>
              </w:rPr>
              <w:t>个</w:t>
            </w:r>
            <w:r>
              <w:rPr>
                <w:rFonts w:hint="eastAsia"/>
                <w:sz w:val="22"/>
              </w:rPr>
              <w:t>钢结构安装或拆除</w:t>
            </w:r>
            <w:r>
              <w:rPr>
                <w:sz w:val="22"/>
              </w:rPr>
              <w:t>施工合同的项目经理</w:t>
            </w:r>
            <w:r>
              <w:rPr>
                <w:rFonts w:hint="eastAsia"/>
                <w:sz w:val="22"/>
              </w:rPr>
              <w:t>。</w:t>
            </w:r>
          </w:p>
        </w:tc>
      </w:tr>
    </w:tbl>
    <w:p>
      <w:pPr>
        <w:rPr>
          <w:rFonts w:eastAsiaTheme="minorEastAsia"/>
        </w:rPr>
      </w:pPr>
    </w:p>
    <w:p>
      <w:pPr>
        <w:pStyle w:val="2"/>
      </w:pPr>
    </w:p>
    <w:p>
      <w:pPr>
        <w:rPr>
          <w:rFonts w:hint="eastAsia" w:ascii="宋体" w:hAnsi="宋体" w:cs="宋体"/>
          <w:sz w:val="28"/>
          <w:szCs w:val="28"/>
        </w:rPr>
      </w:pPr>
      <w:bookmarkStart w:id="47" w:name="_Toc510603976"/>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ascii="宋体" w:hAnsi="宋体" w:cs="宋体"/>
          <w:sz w:val="28"/>
          <w:szCs w:val="28"/>
        </w:rPr>
      </w:pPr>
      <w:r>
        <w:rPr>
          <w:rFonts w:hint="eastAsia" w:ascii="宋体" w:hAnsi="宋体" w:cs="宋体"/>
          <w:sz w:val="28"/>
          <w:szCs w:val="28"/>
        </w:rPr>
        <w:t>1. 总则</w:t>
      </w:r>
    </w:p>
    <w:p>
      <w:pPr>
        <w:pStyle w:val="5"/>
        <w:spacing w:before="0" w:after="0" w:line="360" w:lineRule="auto"/>
        <w:rPr>
          <w:rFonts w:ascii="宋体" w:hAnsi="宋体" w:cs="宋体"/>
          <w:sz w:val="28"/>
          <w:szCs w:val="28"/>
        </w:rPr>
      </w:pPr>
      <w:r>
        <w:rPr>
          <w:rFonts w:hint="eastAsia" w:ascii="宋体" w:hAnsi="宋体" w:cs="宋体"/>
          <w:sz w:val="28"/>
          <w:szCs w:val="28"/>
        </w:rPr>
        <w:t>1.1 项目概况</w:t>
      </w:r>
    </w:p>
    <w:p>
      <w:pPr>
        <w:spacing w:line="360" w:lineRule="auto"/>
        <w:ind w:firstLine="420" w:firstLineChars="200"/>
        <w:rPr>
          <w:szCs w:val="21"/>
        </w:rPr>
      </w:pPr>
      <w:r>
        <w:rPr>
          <w:rFonts w:ascii="宋体" w:hAnsi="宋体"/>
          <w:szCs w:val="21"/>
        </w:rPr>
        <w:t>1.1.1</w:t>
      </w:r>
      <w:r>
        <w:rPr>
          <w:rFonts w:ascii="宋体" w:hAnsi="宋体" w:cs="宋体"/>
          <w:szCs w:val="21"/>
        </w:rPr>
        <w:t>根据《中华人民共和国</w:t>
      </w:r>
      <w:r>
        <w:rPr>
          <w:rFonts w:hint="eastAsia" w:ascii="宋体" w:hAnsi="宋体" w:cs="宋体"/>
          <w:szCs w:val="21"/>
        </w:rPr>
        <w:t>招</w:t>
      </w:r>
      <w:r>
        <w:rPr>
          <w:rFonts w:ascii="宋体" w:hAnsi="宋体" w:cs="宋体"/>
          <w:szCs w:val="21"/>
        </w:rPr>
        <w:t>投标法》、《中华人民共和国</w:t>
      </w:r>
      <w:r>
        <w:rPr>
          <w:rFonts w:hint="eastAsia" w:ascii="宋体" w:hAnsi="宋体" w:cs="宋体"/>
          <w:szCs w:val="21"/>
        </w:rPr>
        <w:t>招</w:t>
      </w:r>
      <w:r>
        <w:rPr>
          <w:rFonts w:ascii="宋体" w:hAnsi="宋体" w:cs="宋体"/>
          <w:szCs w:val="21"/>
        </w:rPr>
        <w:t>投标法实施条例》</w:t>
      </w:r>
      <w:r>
        <w:rPr>
          <w:rFonts w:hint="eastAsia" w:ascii="宋体" w:hAnsi="宋体" w:cs="宋体"/>
          <w:szCs w:val="21"/>
        </w:rPr>
        <w:t>、《公路工程建设项目招投标管理办法》</w:t>
      </w:r>
      <w:r>
        <w:rPr>
          <w:rFonts w:ascii="宋体" w:hAnsi="宋体" w:cs="宋体"/>
          <w:szCs w:val="21"/>
        </w:rPr>
        <w:t>等有关法律、法规和规章的规定，本询价项目已具备询价条件，现对</w:t>
      </w:r>
      <w:r>
        <w:rPr>
          <w:rFonts w:hint="eastAsia" w:ascii="宋体" w:hAnsi="宋体" w:cs="宋体"/>
          <w:szCs w:val="21"/>
        </w:rPr>
        <w:t>本标段施工</w:t>
      </w:r>
      <w:r>
        <w:rPr>
          <w:rFonts w:ascii="宋体" w:hAnsi="宋体" w:cs="宋体"/>
          <w:szCs w:val="21"/>
        </w:rPr>
        <w:t>进行询价。</w:t>
      </w:r>
    </w:p>
    <w:p>
      <w:pPr>
        <w:spacing w:line="360" w:lineRule="auto"/>
        <w:ind w:firstLine="420" w:firstLineChars="200"/>
        <w:rPr>
          <w:rFonts w:ascii="宋体"/>
          <w:szCs w:val="21"/>
        </w:rPr>
      </w:pPr>
      <w:r>
        <w:rPr>
          <w:rFonts w:ascii="宋体" w:hAnsi="宋体"/>
          <w:szCs w:val="21"/>
        </w:rPr>
        <w:t xml:space="preserve">1.1.2 </w:t>
      </w:r>
      <w:r>
        <w:rPr>
          <w:rFonts w:hint="eastAsia" w:ascii="宋体" w:hAnsi="宋体"/>
          <w:szCs w:val="21"/>
        </w:rPr>
        <w:t>本询价项目询价人：见报价人须知前附表。</w:t>
      </w:r>
    </w:p>
    <w:p>
      <w:pPr>
        <w:spacing w:line="360" w:lineRule="auto"/>
        <w:ind w:firstLine="420" w:firstLineChars="200"/>
        <w:rPr>
          <w:rFonts w:ascii="宋体"/>
          <w:szCs w:val="21"/>
        </w:rPr>
      </w:pPr>
      <w:r>
        <w:rPr>
          <w:rFonts w:ascii="宋体" w:hAnsi="宋体"/>
          <w:szCs w:val="21"/>
        </w:rPr>
        <w:t xml:space="preserve">1.1.4 </w:t>
      </w:r>
      <w:r>
        <w:rPr>
          <w:rFonts w:hint="eastAsia" w:ascii="宋体" w:hAnsi="宋体"/>
          <w:szCs w:val="21"/>
        </w:rPr>
        <w:t>本询价项目名称：见报价人须知前附表。</w:t>
      </w:r>
    </w:p>
    <w:p>
      <w:pPr>
        <w:spacing w:line="360" w:lineRule="auto"/>
        <w:ind w:firstLine="420" w:firstLineChars="200"/>
        <w:rPr>
          <w:rFonts w:ascii="宋体" w:hAnsi="宋体"/>
          <w:szCs w:val="21"/>
        </w:rPr>
      </w:pPr>
      <w:r>
        <w:rPr>
          <w:rFonts w:ascii="宋体" w:hAnsi="宋体"/>
          <w:szCs w:val="21"/>
        </w:rPr>
        <w:t xml:space="preserve">1.1.5 </w:t>
      </w:r>
      <w:r>
        <w:rPr>
          <w:rFonts w:hint="eastAsia" w:ascii="宋体" w:hAnsi="宋体"/>
          <w:szCs w:val="21"/>
        </w:rPr>
        <w:t>本标段建设地点：见报价人须知前附表。</w:t>
      </w:r>
    </w:p>
    <w:p>
      <w:pPr>
        <w:pStyle w:val="5"/>
        <w:spacing w:before="0" w:after="0" w:line="360" w:lineRule="auto"/>
        <w:rPr>
          <w:rFonts w:ascii="宋体" w:hAnsi="宋体" w:cs="宋体"/>
          <w:sz w:val="28"/>
          <w:szCs w:val="28"/>
        </w:rPr>
      </w:pPr>
      <w:r>
        <w:rPr>
          <w:rFonts w:hint="eastAsia" w:ascii="宋体" w:hAnsi="宋体" w:cs="宋体"/>
          <w:sz w:val="28"/>
          <w:szCs w:val="28"/>
        </w:rPr>
        <w:t>1.2 资金来源和落实情况</w:t>
      </w:r>
    </w:p>
    <w:p>
      <w:pPr>
        <w:spacing w:line="360" w:lineRule="auto"/>
        <w:ind w:firstLine="420" w:firstLineChars="200"/>
        <w:rPr>
          <w:rFonts w:ascii="宋体" w:hAnsi="宋体" w:cs="宋体"/>
          <w:szCs w:val="21"/>
        </w:rPr>
      </w:pPr>
      <w:r>
        <w:rPr>
          <w:rFonts w:hint="eastAsia" w:ascii="宋体" w:hAnsi="宋体" w:cs="宋体"/>
          <w:szCs w:val="21"/>
        </w:rPr>
        <w:t>1.2.1 资金来源及比例：见报价人须知前附表。</w:t>
      </w:r>
    </w:p>
    <w:p>
      <w:pPr>
        <w:spacing w:line="360" w:lineRule="auto"/>
        <w:ind w:firstLine="420" w:firstLineChars="200"/>
        <w:rPr>
          <w:rFonts w:ascii="宋体" w:hAnsi="宋体" w:cs="宋体"/>
          <w:szCs w:val="21"/>
        </w:rPr>
      </w:pPr>
      <w:r>
        <w:rPr>
          <w:rFonts w:hint="eastAsia" w:ascii="宋体" w:hAnsi="宋体" w:cs="宋体"/>
          <w:szCs w:val="21"/>
        </w:rPr>
        <w:t>1.2.2 资金落实情况：见报价人须知前附表。</w:t>
      </w:r>
    </w:p>
    <w:p>
      <w:pPr>
        <w:pStyle w:val="5"/>
        <w:spacing w:before="0" w:after="0" w:line="360" w:lineRule="auto"/>
        <w:rPr>
          <w:rFonts w:ascii="宋体" w:hAnsi="宋体" w:cs="宋体"/>
          <w:sz w:val="28"/>
          <w:szCs w:val="28"/>
        </w:rPr>
      </w:pPr>
      <w:r>
        <w:rPr>
          <w:rFonts w:hint="eastAsia" w:ascii="宋体" w:hAnsi="宋体" w:cs="宋体"/>
          <w:sz w:val="28"/>
          <w:szCs w:val="28"/>
        </w:rPr>
        <w:t>1.3 询价范围、计划工期和质量要求</w:t>
      </w:r>
    </w:p>
    <w:p>
      <w:pPr>
        <w:spacing w:line="360" w:lineRule="auto"/>
        <w:ind w:firstLine="420" w:firstLineChars="200"/>
        <w:rPr>
          <w:rFonts w:ascii="宋体" w:hAnsi="宋体" w:cs="宋体"/>
          <w:szCs w:val="21"/>
        </w:rPr>
      </w:pPr>
      <w:r>
        <w:rPr>
          <w:rFonts w:ascii="宋体" w:hAnsi="宋体" w:cs="宋体"/>
          <w:szCs w:val="21"/>
        </w:rPr>
        <w:t>1.3.1</w:t>
      </w:r>
      <w:r>
        <w:rPr>
          <w:rFonts w:hint="eastAsia" w:ascii="宋体" w:hAnsi="宋体" w:cs="宋体"/>
          <w:szCs w:val="21"/>
        </w:rPr>
        <w:t>询价范围：见报价人须知前附表。</w:t>
      </w:r>
    </w:p>
    <w:p>
      <w:pPr>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3</w:t>
      </w:r>
      <w:r>
        <w:rPr>
          <w:rFonts w:ascii="宋体" w:hAnsi="宋体" w:cs="宋体"/>
          <w:szCs w:val="21"/>
        </w:rPr>
        <w:t>.</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计划工期</w:t>
      </w:r>
      <w:r>
        <w:rPr>
          <w:rFonts w:ascii="宋体" w:hAnsi="宋体" w:cs="宋体"/>
          <w:szCs w:val="21"/>
        </w:rPr>
        <w:t>：见</w:t>
      </w:r>
      <w:r>
        <w:rPr>
          <w:rFonts w:hint="eastAsia" w:ascii="宋体" w:hAnsi="宋体" w:cs="宋体"/>
          <w:szCs w:val="21"/>
        </w:rPr>
        <w:t>报价人</w:t>
      </w:r>
      <w:r>
        <w:rPr>
          <w:rFonts w:ascii="宋体" w:hAnsi="宋体" w:cs="宋体"/>
          <w:szCs w:val="21"/>
        </w:rPr>
        <w:t>须知前附表。</w:t>
      </w:r>
    </w:p>
    <w:p>
      <w:pPr>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3</w:t>
      </w:r>
      <w:r>
        <w:rPr>
          <w:rFonts w:ascii="宋体" w:hAnsi="宋体" w:cs="宋体"/>
          <w:szCs w:val="21"/>
        </w:rPr>
        <w:t>.</w:t>
      </w:r>
      <w:r>
        <w:rPr>
          <w:rFonts w:hint="eastAsia" w:ascii="宋体" w:hAnsi="宋体" w:cs="宋体"/>
          <w:szCs w:val="21"/>
        </w:rPr>
        <w:t>3</w:t>
      </w:r>
      <w:r>
        <w:rPr>
          <w:rFonts w:ascii="宋体" w:hAnsi="宋体" w:cs="宋体"/>
          <w:szCs w:val="21"/>
        </w:rPr>
        <w:t xml:space="preserve"> </w:t>
      </w:r>
      <w:r>
        <w:rPr>
          <w:rFonts w:hint="eastAsia" w:ascii="宋体" w:hAnsi="宋体" w:cs="宋体"/>
          <w:szCs w:val="21"/>
        </w:rPr>
        <w:t>质量要求</w:t>
      </w:r>
      <w:r>
        <w:rPr>
          <w:rFonts w:ascii="宋体" w:hAnsi="宋体" w:cs="宋体"/>
          <w:szCs w:val="21"/>
        </w:rPr>
        <w:t>：见</w:t>
      </w:r>
      <w:r>
        <w:rPr>
          <w:rFonts w:hint="eastAsia" w:ascii="宋体" w:hAnsi="宋体" w:cs="宋体"/>
          <w:szCs w:val="21"/>
        </w:rPr>
        <w:t>报价人</w:t>
      </w:r>
      <w:r>
        <w:rPr>
          <w:rFonts w:ascii="宋体" w:hAnsi="宋体" w:cs="宋体"/>
          <w:szCs w:val="21"/>
        </w:rPr>
        <w:t>须知前附表。</w:t>
      </w:r>
    </w:p>
    <w:p>
      <w:pPr>
        <w:spacing w:line="360" w:lineRule="auto"/>
        <w:ind w:firstLine="420" w:firstLineChars="200"/>
        <w:rPr>
          <w:rFonts w:ascii="宋体" w:hAnsi="宋体" w:cs="宋体"/>
          <w:szCs w:val="21"/>
        </w:rPr>
      </w:pPr>
      <w:r>
        <w:rPr>
          <w:rFonts w:ascii="宋体" w:hAnsi="宋体" w:cs="宋体"/>
          <w:szCs w:val="21"/>
        </w:rPr>
        <w:t xml:space="preserve">1.3.4 </w:t>
      </w:r>
      <w:r>
        <w:rPr>
          <w:rFonts w:hint="eastAsia" w:ascii="宋体" w:hAnsi="宋体" w:cs="宋体"/>
          <w:szCs w:val="21"/>
        </w:rPr>
        <w:t>本标段的安全目标：见报价人须知前附表。</w:t>
      </w:r>
    </w:p>
    <w:p>
      <w:pPr>
        <w:spacing w:line="360" w:lineRule="auto"/>
        <w:ind w:firstLine="420" w:firstLineChars="200"/>
      </w:pPr>
      <w:r>
        <w:rPr>
          <w:rFonts w:ascii="宋体" w:hAnsi="宋体" w:cs="宋体"/>
          <w:szCs w:val="21"/>
        </w:rPr>
        <w:t>1.</w:t>
      </w:r>
      <w:r>
        <w:rPr>
          <w:rFonts w:hint="eastAsia" w:ascii="宋体" w:hAnsi="宋体" w:cs="宋体"/>
          <w:szCs w:val="21"/>
        </w:rPr>
        <w:t>3</w:t>
      </w:r>
      <w:r>
        <w:rPr>
          <w:rFonts w:ascii="宋体" w:hAnsi="宋体" w:cs="宋体"/>
          <w:szCs w:val="21"/>
        </w:rPr>
        <w:t>.</w:t>
      </w:r>
      <w:r>
        <w:rPr>
          <w:rFonts w:hint="eastAsia" w:ascii="宋体" w:hAnsi="宋体" w:cs="宋体"/>
          <w:szCs w:val="21"/>
        </w:rPr>
        <w:t>5</w:t>
      </w:r>
      <w:r>
        <w:rPr>
          <w:rFonts w:ascii="宋体" w:hAnsi="宋体" w:cs="宋体"/>
          <w:szCs w:val="21"/>
        </w:rPr>
        <w:t xml:space="preserve"> </w:t>
      </w:r>
      <w:r>
        <w:rPr>
          <w:rFonts w:hint="eastAsia" w:ascii="宋体" w:hAnsi="宋体" w:cs="宋体"/>
          <w:szCs w:val="21"/>
        </w:rPr>
        <w:t>缺陷责任期</w:t>
      </w:r>
      <w:r>
        <w:rPr>
          <w:rFonts w:ascii="宋体" w:hAnsi="宋体" w:cs="宋体"/>
          <w:szCs w:val="21"/>
        </w:rPr>
        <w:t>：见</w:t>
      </w:r>
      <w:r>
        <w:rPr>
          <w:rFonts w:hint="eastAsia" w:ascii="宋体" w:hAnsi="宋体" w:cs="宋体"/>
          <w:szCs w:val="21"/>
        </w:rPr>
        <w:t>报价人</w:t>
      </w:r>
      <w:r>
        <w:rPr>
          <w:rFonts w:ascii="宋体" w:hAnsi="宋体" w:cs="宋体"/>
          <w:szCs w:val="21"/>
        </w:rPr>
        <w:t>须知前附表。</w:t>
      </w:r>
    </w:p>
    <w:p>
      <w:pPr>
        <w:pStyle w:val="5"/>
        <w:spacing w:before="0" w:after="0" w:line="360" w:lineRule="auto"/>
        <w:rPr>
          <w:rFonts w:ascii="宋体" w:hAnsi="宋体" w:cs="宋体"/>
          <w:sz w:val="28"/>
          <w:szCs w:val="28"/>
        </w:rPr>
      </w:pPr>
      <w:r>
        <w:rPr>
          <w:rFonts w:hint="eastAsia" w:ascii="宋体" w:hAnsi="宋体" w:cs="宋体"/>
          <w:sz w:val="28"/>
          <w:szCs w:val="28"/>
        </w:rPr>
        <w:t>1.4 报价人资格要求</w:t>
      </w:r>
    </w:p>
    <w:p>
      <w:pPr>
        <w:spacing w:line="360" w:lineRule="auto"/>
        <w:ind w:firstLine="420" w:firstLineChars="200"/>
        <w:rPr>
          <w:rFonts w:ascii="宋体"/>
          <w:szCs w:val="21"/>
        </w:rPr>
      </w:pPr>
      <w:r>
        <w:rPr>
          <w:rFonts w:ascii="宋体" w:hAnsi="宋体"/>
          <w:szCs w:val="21"/>
        </w:rPr>
        <w:t xml:space="preserve">1.4.1 </w:t>
      </w:r>
      <w:r>
        <w:rPr>
          <w:rFonts w:hint="eastAsia" w:ascii="宋体" w:hAnsi="宋体"/>
          <w:szCs w:val="21"/>
        </w:rPr>
        <w:t>报价人应具备承担本标段施工的资质条件、能力和信誉。</w:t>
      </w:r>
    </w:p>
    <w:p>
      <w:pPr>
        <w:spacing w:line="360" w:lineRule="auto"/>
        <w:ind w:firstLine="420" w:firstLineChars="200"/>
        <w:rPr>
          <w:rFonts w:ascii="宋体"/>
          <w:szCs w:val="21"/>
        </w:rPr>
      </w:pPr>
      <w:r>
        <w:rPr>
          <w:rFonts w:ascii="宋体" w:hAnsi="宋体"/>
          <w:szCs w:val="21"/>
        </w:rPr>
        <w:t>(1)</w:t>
      </w:r>
      <w:r>
        <w:rPr>
          <w:rFonts w:hint="eastAsia" w:ascii="宋体" w:hAnsi="宋体"/>
          <w:szCs w:val="21"/>
        </w:rPr>
        <w:t>资质条件：见报价人须知前附表；</w:t>
      </w:r>
    </w:p>
    <w:p>
      <w:pPr>
        <w:spacing w:line="360" w:lineRule="auto"/>
        <w:ind w:firstLine="420" w:firstLineChars="200"/>
        <w:rPr>
          <w:rFonts w:ascii="宋体"/>
          <w:szCs w:val="21"/>
        </w:rPr>
      </w:pPr>
      <w:r>
        <w:rPr>
          <w:rFonts w:ascii="宋体" w:hAnsi="宋体"/>
          <w:szCs w:val="21"/>
        </w:rPr>
        <w:t>(2)</w:t>
      </w:r>
      <w:r>
        <w:rPr>
          <w:rFonts w:hint="eastAsia" w:ascii="宋体" w:hAnsi="宋体"/>
          <w:szCs w:val="21"/>
        </w:rPr>
        <w:t>业绩要求：见报价人须知前附表；</w:t>
      </w:r>
    </w:p>
    <w:p>
      <w:pPr>
        <w:spacing w:line="360" w:lineRule="auto"/>
        <w:ind w:firstLine="420" w:firstLineChars="200"/>
        <w:rPr>
          <w:rFonts w:ascii="宋体"/>
          <w:szCs w:val="21"/>
        </w:rPr>
      </w:pPr>
      <w:r>
        <w:rPr>
          <w:rFonts w:ascii="宋体" w:hAnsi="宋体"/>
          <w:szCs w:val="21"/>
        </w:rPr>
        <w:t>(3)</w:t>
      </w:r>
      <w:r>
        <w:rPr>
          <w:rFonts w:hint="eastAsia" w:ascii="宋体" w:hAnsi="宋体"/>
          <w:szCs w:val="21"/>
        </w:rPr>
        <w:t>信誉要求：见报价人须知前附表；</w:t>
      </w:r>
    </w:p>
    <w:p>
      <w:pPr>
        <w:spacing w:line="360" w:lineRule="auto"/>
        <w:ind w:firstLine="420" w:firstLineChars="200"/>
        <w:rPr>
          <w:rFonts w:ascii="宋体"/>
          <w:szCs w:val="21"/>
        </w:rPr>
      </w:pPr>
      <w:r>
        <w:rPr>
          <w:rFonts w:ascii="宋体" w:hAnsi="宋体"/>
          <w:szCs w:val="21"/>
        </w:rPr>
        <w:t>(4)</w:t>
      </w:r>
      <w:r>
        <w:rPr>
          <w:rFonts w:hint="eastAsia" w:ascii="宋体" w:hAnsi="宋体"/>
          <w:szCs w:val="21"/>
        </w:rPr>
        <w:t>项目经理资格：见报价人须知前附表；</w:t>
      </w:r>
    </w:p>
    <w:p>
      <w:pPr>
        <w:spacing w:line="360" w:lineRule="auto"/>
        <w:ind w:firstLine="420" w:firstLineChars="200"/>
        <w:rPr>
          <w:rFonts w:ascii="宋体"/>
          <w:szCs w:val="21"/>
        </w:rPr>
      </w:pPr>
      <w:r>
        <w:rPr>
          <w:rFonts w:ascii="宋体" w:hAnsi="宋体"/>
          <w:szCs w:val="21"/>
        </w:rPr>
        <w:t xml:space="preserve">1.4.2 </w:t>
      </w:r>
      <w:r>
        <w:rPr>
          <w:rFonts w:hint="eastAsia" w:ascii="宋体" w:hAnsi="宋体"/>
          <w:szCs w:val="21"/>
        </w:rPr>
        <w:t>报价人须知前附表规定接受联合体投标的，联合体除应符合本章第</w:t>
      </w:r>
      <w:r>
        <w:rPr>
          <w:rFonts w:ascii="宋体" w:hAnsi="宋体"/>
          <w:szCs w:val="21"/>
        </w:rPr>
        <w:t xml:space="preserve"> 1.4.1 </w:t>
      </w:r>
      <w:r>
        <w:rPr>
          <w:rFonts w:hint="eastAsia" w:ascii="宋体" w:hAnsi="宋体"/>
          <w:szCs w:val="21"/>
        </w:rPr>
        <w:t>项和报价人须知前附表的要求外，还应遵守以下规定：</w:t>
      </w:r>
    </w:p>
    <w:p>
      <w:pPr>
        <w:spacing w:line="360" w:lineRule="auto"/>
        <w:ind w:firstLine="420" w:firstLineChars="200"/>
        <w:rPr>
          <w:rFonts w:ascii="宋体" w:hAnsi="宋体" w:cs="宋体"/>
          <w:szCs w:val="21"/>
        </w:rPr>
      </w:pPr>
      <w:r>
        <w:rPr>
          <w:rFonts w:hint="eastAsia" w:ascii="宋体" w:hAnsi="宋体" w:cs="宋体"/>
          <w:szCs w:val="21"/>
        </w:rPr>
        <w:t>(1)联合体各方应按询价文件提供的格式签订联合体协议书，明确联合体牵头人和各方权利义务；</w:t>
      </w:r>
    </w:p>
    <w:p>
      <w:pPr>
        <w:spacing w:line="360" w:lineRule="auto"/>
        <w:ind w:firstLine="420" w:firstLineChars="200"/>
        <w:rPr>
          <w:rFonts w:ascii="宋体" w:hAnsi="宋体" w:cs="宋体"/>
          <w:szCs w:val="21"/>
        </w:rPr>
      </w:pPr>
      <w:r>
        <w:rPr>
          <w:rFonts w:hint="eastAsia" w:ascii="宋体" w:hAnsi="宋体" w:cs="宋体"/>
          <w:szCs w:val="21"/>
        </w:rPr>
        <w:t>(2)由同一专业的单位组成的联合体，按照资质等级较低的单位确定资质等级；</w:t>
      </w:r>
    </w:p>
    <w:p>
      <w:pPr>
        <w:spacing w:line="360" w:lineRule="auto"/>
        <w:ind w:firstLine="420" w:firstLineChars="200"/>
        <w:rPr>
          <w:rFonts w:ascii="宋体" w:hAnsi="宋体" w:cs="宋体"/>
          <w:szCs w:val="21"/>
        </w:rPr>
      </w:pPr>
      <w:r>
        <w:rPr>
          <w:rFonts w:hint="eastAsia" w:ascii="宋体" w:hAnsi="宋体" w:cs="宋体"/>
          <w:szCs w:val="21"/>
        </w:rPr>
        <w:t>(3)联合体各方不得再以自己名义单独或参加其他联合体在同一标段中投标；</w:t>
      </w:r>
    </w:p>
    <w:p>
      <w:pPr>
        <w:spacing w:line="360" w:lineRule="auto"/>
        <w:ind w:firstLine="420" w:firstLineChars="200"/>
        <w:rPr>
          <w:rFonts w:ascii="宋体" w:hAnsi="宋体" w:cs="宋体"/>
          <w:szCs w:val="21"/>
        </w:rPr>
      </w:pPr>
      <w:r>
        <w:rPr>
          <w:rFonts w:hint="eastAsia" w:ascii="宋体" w:hAnsi="宋体" w:cs="宋体"/>
          <w:szCs w:val="21"/>
        </w:rPr>
        <w:t>(4)联合体各方应分别按照本询价文件的要求，填写响应文件中的相应表格，并由联合体牵头人负责对联合体各成员的资料进行统一汇总后一并提交给询价人； 联合体牵头人所提交的响应文件应认为已代表了联合体各成员的真实情况；</w:t>
      </w:r>
    </w:p>
    <w:p>
      <w:pPr>
        <w:spacing w:line="360" w:lineRule="auto"/>
        <w:ind w:firstLine="420" w:firstLineChars="200"/>
        <w:rPr>
          <w:rFonts w:ascii="宋体" w:hAnsi="宋体" w:cs="宋体"/>
          <w:szCs w:val="21"/>
        </w:rPr>
      </w:pPr>
      <w:r>
        <w:rPr>
          <w:rFonts w:hint="eastAsia" w:ascii="宋体" w:hAnsi="宋体" w:cs="宋体"/>
          <w:szCs w:val="21"/>
        </w:rPr>
        <w:t>(5)尽管委任了联合体牵头人， 但联合体各成员在投标、 签约与履行合同过程中，仍负有连带的和各自的法律责任。</w:t>
      </w:r>
    </w:p>
    <w:p>
      <w:pPr>
        <w:spacing w:line="360" w:lineRule="auto"/>
        <w:ind w:firstLine="480"/>
        <w:rPr>
          <w:rFonts w:ascii="宋体" w:hAnsi="宋体" w:cs="宋体"/>
          <w:szCs w:val="21"/>
        </w:rPr>
      </w:pPr>
      <w:r>
        <w:rPr>
          <w:rFonts w:hint="eastAsia" w:ascii="宋体" w:hAnsi="宋体" w:cs="宋体"/>
          <w:szCs w:val="21"/>
        </w:rPr>
        <w:t>1.4.3 报价人不得与本标段相关单位存在下列关联关系：</w:t>
      </w:r>
    </w:p>
    <w:p>
      <w:pPr>
        <w:spacing w:line="360" w:lineRule="auto"/>
        <w:ind w:firstLine="480"/>
        <w:rPr>
          <w:rFonts w:ascii="宋体" w:hAnsi="宋体" w:cs="宋体"/>
          <w:szCs w:val="21"/>
        </w:rPr>
      </w:pPr>
      <w:r>
        <w:rPr>
          <w:rFonts w:hint="eastAsia" w:ascii="宋体" w:hAnsi="宋体" w:cs="宋体"/>
          <w:szCs w:val="21"/>
        </w:rPr>
        <w:t>(1)为询价人不具有独立法人资格的附属机构(单位)；</w:t>
      </w:r>
    </w:p>
    <w:p>
      <w:pPr>
        <w:spacing w:line="360" w:lineRule="auto"/>
        <w:ind w:firstLine="480"/>
        <w:rPr>
          <w:rFonts w:ascii="宋体" w:hAnsi="宋体" w:cs="宋体"/>
          <w:szCs w:val="21"/>
        </w:rPr>
      </w:pPr>
      <w:r>
        <w:rPr>
          <w:rFonts w:hint="eastAsia" w:ascii="宋体" w:hAnsi="宋体" w:cs="宋体"/>
          <w:szCs w:val="21"/>
        </w:rPr>
        <w:t>(2)与询价人存在利害关系且可能影响询价公正性；</w:t>
      </w:r>
    </w:p>
    <w:p>
      <w:pPr>
        <w:spacing w:line="360" w:lineRule="auto"/>
        <w:ind w:firstLine="480"/>
        <w:rPr>
          <w:rFonts w:ascii="宋体" w:hAnsi="宋体" w:cs="宋体"/>
          <w:szCs w:val="21"/>
        </w:rPr>
      </w:pPr>
      <w:r>
        <w:rPr>
          <w:rFonts w:hint="eastAsia" w:ascii="宋体" w:hAnsi="宋体" w:cs="宋体"/>
          <w:szCs w:val="21"/>
        </w:rPr>
        <w:t>(3)与本标段的其他报价人同为一个单位负责人的；</w:t>
      </w:r>
    </w:p>
    <w:p>
      <w:pPr>
        <w:spacing w:line="360" w:lineRule="auto"/>
        <w:ind w:firstLine="480"/>
        <w:rPr>
          <w:rFonts w:ascii="宋体" w:hAnsi="宋体" w:cs="宋体"/>
          <w:szCs w:val="21"/>
        </w:rPr>
      </w:pPr>
      <w:r>
        <w:rPr>
          <w:rFonts w:hint="eastAsia" w:ascii="宋体" w:hAnsi="宋体" w:cs="宋体"/>
          <w:szCs w:val="21"/>
        </w:rPr>
        <w:t>(4)与本标段的其他报价人存在控股、管理关系的；</w:t>
      </w:r>
    </w:p>
    <w:p>
      <w:pPr>
        <w:spacing w:line="360" w:lineRule="auto"/>
        <w:ind w:firstLine="480"/>
        <w:rPr>
          <w:rFonts w:ascii="宋体" w:hAnsi="宋体"/>
          <w:szCs w:val="21"/>
        </w:rPr>
      </w:pPr>
      <w:r>
        <w:rPr>
          <w:rFonts w:hint="eastAsia" w:ascii="宋体" w:hAnsi="宋体" w:cs="宋体"/>
          <w:szCs w:val="21"/>
        </w:rPr>
        <w:t>(5)法律法规或报价人须知前附表规定的其他情形。</w:t>
      </w:r>
    </w:p>
    <w:p>
      <w:pPr>
        <w:pStyle w:val="5"/>
        <w:spacing w:before="0" w:after="0" w:line="360" w:lineRule="auto"/>
        <w:rPr>
          <w:rFonts w:ascii="宋体" w:hAnsi="宋体" w:cs="宋体"/>
          <w:sz w:val="28"/>
          <w:szCs w:val="28"/>
        </w:rPr>
      </w:pPr>
      <w:r>
        <w:rPr>
          <w:rFonts w:hint="eastAsia" w:ascii="宋体" w:hAnsi="宋体" w:cs="宋体"/>
          <w:sz w:val="28"/>
          <w:szCs w:val="28"/>
        </w:rPr>
        <w:t>1.5 费用承担</w:t>
      </w:r>
    </w:p>
    <w:p>
      <w:pPr>
        <w:spacing w:line="360" w:lineRule="auto"/>
        <w:ind w:firstLine="480"/>
        <w:rPr>
          <w:rFonts w:ascii="宋体" w:hAnsi="宋体"/>
          <w:szCs w:val="21"/>
        </w:rPr>
      </w:pPr>
      <w:r>
        <w:rPr>
          <w:rFonts w:hint="eastAsia" w:ascii="宋体" w:hAnsi="宋体"/>
          <w:szCs w:val="21"/>
        </w:rPr>
        <w:t>报价人准备和参加报价活动发生的费用自理。</w:t>
      </w:r>
    </w:p>
    <w:p>
      <w:pPr>
        <w:pStyle w:val="5"/>
        <w:spacing w:before="0" w:after="0" w:line="360" w:lineRule="auto"/>
        <w:rPr>
          <w:rFonts w:ascii="宋体" w:hAnsi="宋体" w:cs="宋体"/>
          <w:sz w:val="28"/>
          <w:szCs w:val="28"/>
        </w:rPr>
      </w:pPr>
      <w:r>
        <w:rPr>
          <w:rFonts w:hint="eastAsia" w:ascii="宋体" w:hAnsi="宋体" w:cs="宋体"/>
          <w:sz w:val="28"/>
          <w:szCs w:val="28"/>
        </w:rPr>
        <w:t>1.6 保密</w:t>
      </w:r>
    </w:p>
    <w:p>
      <w:pPr>
        <w:spacing w:line="360" w:lineRule="auto"/>
        <w:ind w:firstLine="420" w:firstLineChars="200"/>
        <w:rPr>
          <w:rFonts w:ascii="宋体" w:hAnsi="宋体"/>
          <w:szCs w:val="21"/>
        </w:rPr>
      </w:pPr>
      <w:r>
        <w:rPr>
          <w:rFonts w:hint="eastAsia" w:ascii="宋体" w:hAnsi="宋体"/>
          <w:szCs w:val="21"/>
        </w:rPr>
        <w:t>参与询价投标活动的各方应对询价文件和响应文件中的商业和技术等秘密保密，违者应对由此造成的后果承担法律责任。</w:t>
      </w:r>
    </w:p>
    <w:p>
      <w:pPr>
        <w:pStyle w:val="5"/>
        <w:spacing w:before="0" w:after="0" w:line="360" w:lineRule="auto"/>
        <w:rPr>
          <w:rFonts w:ascii="宋体" w:hAnsi="宋体" w:cs="宋体"/>
          <w:sz w:val="28"/>
          <w:szCs w:val="28"/>
        </w:rPr>
      </w:pPr>
      <w:r>
        <w:rPr>
          <w:rFonts w:hint="eastAsia" w:ascii="宋体" w:hAnsi="宋体" w:cs="宋体"/>
          <w:sz w:val="28"/>
          <w:szCs w:val="28"/>
        </w:rPr>
        <w:t>1.7 语言文字</w:t>
      </w:r>
    </w:p>
    <w:p>
      <w:pPr>
        <w:spacing w:line="360" w:lineRule="auto"/>
        <w:ind w:firstLine="420" w:firstLineChars="200"/>
        <w:rPr>
          <w:rFonts w:ascii="宋体" w:hAnsi="宋体"/>
          <w:szCs w:val="21"/>
        </w:rPr>
      </w:pPr>
      <w:r>
        <w:rPr>
          <w:rFonts w:hint="eastAsia" w:ascii="宋体" w:hAnsi="宋体"/>
          <w:szCs w:val="21"/>
        </w:rPr>
        <w:t>除专用术语外，与询价投标有关的语言均使用中文。必要时专用术语应附有中文注释。</w:t>
      </w:r>
    </w:p>
    <w:p>
      <w:pPr>
        <w:pStyle w:val="5"/>
        <w:spacing w:before="0" w:after="0" w:line="360" w:lineRule="auto"/>
        <w:rPr>
          <w:rFonts w:ascii="宋体" w:hAnsi="宋体" w:cs="宋体"/>
          <w:sz w:val="28"/>
          <w:szCs w:val="28"/>
        </w:rPr>
      </w:pPr>
      <w:r>
        <w:rPr>
          <w:rFonts w:hint="eastAsia" w:ascii="宋体" w:hAnsi="宋体" w:cs="宋体"/>
          <w:sz w:val="28"/>
          <w:szCs w:val="28"/>
        </w:rPr>
        <w:t>1.8 计量单位</w:t>
      </w:r>
    </w:p>
    <w:p>
      <w:pPr>
        <w:spacing w:line="360" w:lineRule="auto"/>
        <w:ind w:firstLine="420" w:firstLineChars="200"/>
        <w:rPr>
          <w:rFonts w:ascii="宋体" w:hAnsi="宋体"/>
          <w:szCs w:val="21"/>
        </w:rPr>
      </w:pPr>
      <w:r>
        <w:rPr>
          <w:rFonts w:hint="eastAsia" w:ascii="宋体" w:hAnsi="宋体"/>
          <w:szCs w:val="21"/>
        </w:rPr>
        <w:t>所有计量均采用中华人民共和国法定计量单位。</w:t>
      </w:r>
    </w:p>
    <w:p>
      <w:pPr>
        <w:pStyle w:val="5"/>
        <w:spacing w:before="0" w:after="0" w:line="360" w:lineRule="auto"/>
        <w:rPr>
          <w:rFonts w:hint="eastAsia" w:ascii="宋体" w:hAnsi="宋体" w:cs="宋体"/>
          <w:sz w:val="28"/>
          <w:szCs w:val="28"/>
        </w:rPr>
      </w:pPr>
      <w:r>
        <w:rPr>
          <w:rFonts w:hint="eastAsia" w:ascii="宋体" w:hAnsi="宋体" w:cs="宋体"/>
          <w:sz w:val="28"/>
          <w:szCs w:val="28"/>
        </w:rPr>
        <w:t>1.9 分包</w:t>
      </w:r>
    </w:p>
    <w:p>
      <w:pPr>
        <w:spacing w:line="360" w:lineRule="auto"/>
        <w:ind w:firstLine="420" w:firstLineChars="200"/>
        <w:rPr>
          <w:rFonts w:hint="eastAsia" w:ascii="宋体" w:hAnsi="宋体"/>
          <w:szCs w:val="21"/>
          <w:lang w:eastAsia="zh-CN"/>
        </w:rPr>
      </w:pPr>
      <w:r>
        <w:rPr>
          <w:rFonts w:hint="eastAsia" w:ascii="宋体" w:hAnsi="宋体"/>
          <w:szCs w:val="21"/>
          <w:lang w:eastAsia="zh-CN"/>
        </w:rPr>
        <w:t>本项目不接受分包</w:t>
      </w:r>
    </w:p>
    <w:p>
      <w:pPr>
        <w:pStyle w:val="5"/>
        <w:spacing w:before="0" w:after="0" w:line="360" w:lineRule="auto"/>
        <w:rPr>
          <w:rFonts w:ascii="宋体" w:hAnsi="宋体" w:cs="宋体"/>
          <w:sz w:val="28"/>
          <w:szCs w:val="28"/>
        </w:rPr>
      </w:pPr>
      <w:r>
        <w:rPr>
          <w:rFonts w:hint="eastAsia" w:ascii="宋体" w:hAnsi="宋体" w:cs="宋体"/>
          <w:sz w:val="28"/>
          <w:szCs w:val="28"/>
        </w:rPr>
        <w:t>1.10 偏离</w:t>
      </w:r>
    </w:p>
    <w:p>
      <w:pPr>
        <w:spacing w:line="360" w:lineRule="auto"/>
        <w:ind w:firstLine="420" w:firstLineChars="200"/>
      </w:pPr>
      <w:r>
        <w:rPr>
          <w:rFonts w:hint="eastAsia"/>
        </w:rPr>
        <w:t>投标人须知前附表允许投标文件偏离招标文件某些要求的，偏离应当符合招标文件规定的偏离范围和幅度。</w:t>
      </w:r>
    </w:p>
    <w:p>
      <w:pPr>
        <w:rPr>
          <w:rFonts w:ascii="宋体" w:hAnsi="宋体" w:cs="宋体"/>
          <w:sz w:val="28"/>
          <w:szCs w:val="28"/>
        </w:rPr>
      </w:pPr>
      <w:r>
        <w:rPr>
          <w:rFonts w:hint="eastAsia" w:ascii="宋体" w:hAnsi="宋体" w:cs="宋体"/>
          <w:sz w:val="28"/>
          <w:szCs w:val="28"/>
        </w:rPr>
        <w:t>2. 询价文件</w:t>
      </w:r>
    </w:p>
    <w:p>
      <w:pPr>
        <w:pStyle w:val="5"/>
        <w:spacing w:before="0" w:after="0" w:line="360" w:lineRule="auto"/>
        <w:rPr>
          <w:rFonts w:ascii="宋体" w:hAnsi="宋体" w:cs="宋体"/>
          <w:sz w:val="28"/>
          <w:szCs w:val="28"/>
        </w:rPr>
      </w:pPr>
      <w:r>
        <w:rPr>
          <w:rFonts w:hint="eastAsia" w:ascii="宋体" w:hAnsi="宋体" w:cs="宋体"/>
          <w:sz w:val="28"/>
          <w:szCs w:val="28"/>
        </w:rPr>
        <w:t>2.1 询价文件的组成</w:t>
      </w:r>
    </w:p>
    <w:p>
      <w:pPr>
        <w:spacing w:line="360" w:lineRule="auto"/>
        <w:ind w:firstLine="420" w:firstLineChars="200"/>
        <w:rPr>
          <w:rFonts w:ascii="宋体" w:hAnsi="宋体" w:cs="宋体"/>
        </w:rPr>
      </w:pPr>
      <w:r>
        <w:rPr>
          <w:rFonts w:hint="eastAsia" w:ascii="宋体" w:hAnsi="宋体" w:cs="宋体"/>
        </w:rPr>
        <w:t>2.1.1本询价文件包括：</w:t>
      </w:r>
    </w:p>
    <w:p>
      <w:pPr>
        <w:spacing w:line="360" w:lineRule="auto"/>
        <w:ind w:firstLine="420" w:firstLineChars="200"/>
        <w:rPr>
          <w:rFonts w:ascii="宋体" w:hAnsi="宋体" w:cs="宋体"/>
        </w:rPr>
      </w:pPr>
      <w:r>
        <w:rPr>
          <w:rFonts w:hint="eastAsia" w:ascii="宋体" w:hAnsi="宋体" w:cs="宋体"/>
        </w:rPr>
        <w:t>(1)招标公告(或投标邀请书)；</w:t>
      </w:r>
    </w:p>
    <w:p>
      <w:pPr>
        <w:spacing w:line="360" w:lineRule="auto"/>
        <w:ind w:firstLine="420" w:firstLineChars="200"/>
        <w:rPr>
          <w:rFonts w:ascii="宋体" w:hAnsi="宋体" w:cs="宋体"/>
        </w:rPr>
      </w:pPr>
      <w:r>
        <w:rPr>
          <w:rFonts w:hint="eastAsia" w:ascii="宋体" w:hAnsi="宋体" w:cs="宋体"/>
        </w:rPr>
        <w:t>(2)报价人须知；</w:t>
      </w:r>
    </w:p>
    <w:p>
      <w:pPr>
        <w:spacing w:line="360" w:lineRule="auto"/>
        <w:ind w:firstLine="420" w:firstLineChars="200"/>
        <w:rPr>
          <w:rFonts w:ascii="宋体" w:hAnsi="宋体" w:cs="宋体"/>
        </w:rPr>
      </w:pPr>
      <w:r>
        <w:rPr>
          <w:rFonts w:hint="eastAsia" w:ascii="宋体" w:hAnsi="宋体" w:cs="宋体"/>
        </w:rPr>
        <w:t>(3)评标办法；</w:t>
      </w:r>
    </w:p>
    <w:p>
      <w:pPr>
        <w:spacing w:line="360" w:lineRule="auto"/>
        <w:ind w:firstLine="420" w:firstLineChars="200"/>
        <w:rPr>
          <w:rFonts w:ascii="宋体" w:hAnsi="宋体" w:cs="宋体"/>
        </w:rPr>
      </w:pPr>
      <w:r>
        <w:rPr>
          <w:rFonts w:hint="eastAsia" w:ascii="宋体" w:hAnsi="宋体" w:cs="宋体"/>
        </w:rPr>
        <w:t>(4)合同条款及格式；</w:t>
      </w:r>
    </w:p>
    <w:p>
      <w:pPr>
        <w:spacing w:line="360" w:lineRule="auto"/>
        <w:ind w:firstLine="420" w:firstLineChars="200"/>
        <w:rPr>
          <w:rFonts w:ascii="宋体" w:hAnsi="宋体" w:cs="宋体"/>
        </w:rPr>
      </w:pPr>
      <w:r>
        <w:rPr>
          <w:rFonts w:hint="eastAsia" w:ascii="宋体" w:hAnsi="宋体" w:cs="宋体"/>
        </w:rPr>
        <w:t xml:space="preserve">(5)工程量清单； </w:t>
      </w:r>
    </w:p>
    <w:p>
      <w:pPr>
        <w:spacing w:line="360" w:lineRule="auto"/>
        <w:ind w:firstLine="420" w:firstLineChars="200"/>
        <w:rPr>
          <w:rFonts w:ascii="宋体" w:hAnsi="宋体" w:cs="宋体"/>
        </w:rPr>
      </w:pPr>
      <w:r>
        <w:rPr>
          <w:rFonts w:hint="eastAsia" w:ascii="宋体" w:hAnsi="宋体" w:cs="宋体"/>
        </w:rPr>
        <w:t xml:space="preserve">(6)图纸（无）； </w:t>
      </w:r>
    </w:p>
    <w:p>
      <w:pPr>
        <w:spacing w:line="360" w:lineRule="auto"/>
        <w:ind w:firstLine="420" w:firstLineChars="200"/>
        <w:rPr>
          <w:rFonts w:ascii="宋体" w:hAnsi="宋体" w:cs="宋体"/>
        </w:rPr>
      </w:pPr>
      <w:r>
        <w:rPr>
          <w:rFonts w:hint="eastAsia" w:ascii="宋体" w:hAnsi="宋体" w:cs="宋体"/>
        </w:rPr>
        <w:t xml:space="preserve">(7)技术标准和要求； </w:t>
      </w:r>
    </w:p>
    <w:p>
      <w:pPr>
        <w:spacing w:line="360" w:lineRule="auto"/>
        <w:ind w:firstLine="420" w:firstLineChars="200"/>
        <w:rPr>
          <w:rFonts w:ascii="宋体" w:hAnsi="宋体" w:cs="宋体"/>
        </w:rPr>
      </w:pPr>
      <w:r>
        <w:rPr>
          <w:rFonts w:hint="eastAsia" w:ascii="宋体" w:hAnsi="宋体" w:cs="宋体"/>
        </w:rPr>
        <w:t>(8)投标文件格式；</w:t>
      </w:r>
    </w:p>
    <w:p>
      <w:pPr>
        <w:spacing w:line="360" w:lineRule="auto"/>
        <w:ind w:firstLine="420" w:firstLineChars="200"/>
        <w:rPr>
          <w:rFonts w:ascii="宋体" w:hAnsi="宋体" w:cs="宋体"/>
        </w:rPr>
      </w:pPr>
      <w:r>
        <w:rPr>
          <w:rFonts w:hint="eastAsia" w:ascii="宋体" w:hAnsi="宋体" w:cs="宋体"/>
        </w:rPr>
        <w:t>(9)报价人须知前附表规定的其他材料。</w:t>
      </w:r>
    </w:p>
    <w:p>
      <w:pPr>
        <w:spacing w:line="360" w:lineRule="auto"/>
        <w:rPr>
          <w:rFonts w:ascii="宋体" w:hAnsi="宋体" w:cs="宋体"/>
        </w:rPr>
      </w:pPr>
      <w:r>
        <w:rPr>
          <w:rFonts w:hint="eastAsia" w:ascii="宋体" w:hAnsi="宋体" w:cs="宋体"/>
        </w:rPr>
        <w:t>根据本章第1.10款、第2.2款和第2.3款对询价文件所作的澄清、修改，构成询价文件的组成部分。</w:t>
      </w:r>
    </w:p>
    <w:p>
      <w:pPr>
        <w:pStyle w:val="5"/>
        <w:spacing w:before="0" w:after="0" w:line="360" w:lineRule="auto"/>
        <w:rPr>
          <w:rFonts w:ascii="宋体" w:hAnsi="宋体" w:cs="宋体"/>
          <w:sz w:val="28"/>
          <w:szCs w:val="28"/>
        </w:rPr>
      </w:pPr>
      <w:r>
        <w:rPr>
          <w:rFonts w:hint="eastAsia" w:ascii="宋体" w:hAnsi="宋体" w:cs="宋体"/>
          <w:sz w:val="28"/>
          <w:szCs w:val="28"/>
        </w:rPr>
        <w:t>2.2 询价文件的澄清</w:t>
      </w:r>
    </w:p>
    <w:p>
      <w:pPr>
        <w:spacing w:line="360" w:lineRule="auto"/>
        <w:ind w:firstLine="420" w:firstLineChars="200"/>
        <w:rPr>
          <w:rFonts w:ascii="宋体" w:hAnsi="宋体" w:cs="宋体"/>
        </w:rPr>
      </w:pPr>
      <w:r>
        <w:rPr>
          <w:rFonts w:hint="eastAsia" w:ascii="宋体" w:hAnsi="宋体" w:cs="宋体"/>
        </w:rPr>
        <w:t>2.2.1报价人应仔细阅读和检查询价文件的全部内容。</w:t>
      </w:r>
      <w:r>
        <w:rPr>
          <w:rFonts w:hint="eastAsia" w:ascii="宋体" w:hAnsi="宋体" w:cs="宋体"/>
          <w:szCs w:val="21"/>
        </w:rPr>
        <w:t>如发现缺页或附件不全，应及时向询价人提出，以便补齐。</w:t>
      </w:r>
      <w:r>
        <w:rPr>
          <w:rFonts w:hint="eastAsia" w:ascii="宋体" w:hAnsi="宋体" w:cs="宋体"/>
        </w:rPr>
        <w:t>如有疑问，应在报价人须知前附表规定的时间前以书面形式(包括信函、电报、传真等可以有形地表现所载内容的形式，下同)，要求询价人对询价文件予以澄清。</w:t>
      </w:r>
    </w:p>
    <w:p>
      <w:pPr>
        <w:spacing w:line="360" w:lineRule="auto"/>
        <w:ind w:firstLine="420" w:firstLineChars="200"/>
        <w:rPr>
          <w:rFonts w:ascii="宋体" w:hAnsi="宋体" w:cs="宋体"/>
        </w:rPr>
      </w:pPr>
      <w:r>
        <w:rPr>
          <w:rFonts w:hint="eastAsia" w:ascii="宋体" w:hAnsi="宋体" w:cs="宋体"/>
        </w:rPr>
        <w:t>2.2.2 询价文件的澄清将在报价人须知前附表规定的投标截止时间3天前以书面形式发给所有购买询价文件的报价人，但不指明澄清问题的来源。如果澄清发出的时间距投标截止时间不足3天，相应延长投标截止时间。</w:t>
      </w:r>
    </w:p>
    <w:p>
      <w:pPr>
        <w:spacing w:line="360" w:lineRule="auto"/>
        <w:ind w:firstLine="420" w:firstLineChars="200"/>
      </w:pPr>
      <w:r>
        <w:rPr>
          <w:rFonts w:hint="eastAsia" w:ascii="宋体" w:hAnsi="宋体" w:cs="宋体"/>
        </w:rPr>
        <w:t>2.2.3 报价人在收到澄清后，应在报价人须知前附表规定的时间内以书面形式通知询价人，确认已收到该澄清。</w:t>
      </w:r>
    </w:p>
    <w:p>
      <w:pPr>
        <w:pStyle w:val="5"/>
        <w:spacing w:before="0" w:after="0" w:line="360" w:lineRule="auto"/>
        <w:rPr>
          <w:rFonts w:ascii="宋体" w:hAnsi="宋体" w:cs="宋体"/>
          <w:sz w:val="28"/>
          <w:szCs w:val="28"/>
        </w:rPr>
      </w:pPr>
      <w:r>
        <w:rPr>
          <w:rFonts w:hint="eastAsia" w:ascii="宋体" w:hAnsi="宋体" w:cs="宋体"/>
          <w:sz w:val="28"/>
          <w:szCs w:val="28"/>
        </w:rPr>
        <w:t>2.3 询价文件的修改</w:t>
      </w:r>
    </w:p>
    <w:p>
      <w:pPr>
        <w:spacing w:line="360" w:lineRule="auto"/>
        <w:ind w:firstLine="420" w:firstLineChars="200"/>
        <w:rPr>
          <w:rFonts w:ascii="宋体" w:hAnsi="宋体" w:cs="宋体"/>
        </w:rPr>
      </w:pPr>
      <w:r>
        <w:rPr>
          <w:rFonts w:hint="eastAsia" w:ascii="宋体" w:hAnsi="宋体" w:cs="宋体"/>
        </w:rPr>
        <w:t xml:space="preserve">2.3.1 在询价截止时间3天前，询价人可以书面形式修改询价文件，并通知所有已购买询价文件的报价人。如果修改询价文件的时间距投标截止时间不足3天，相应延长投标截止时间。 </w:t>
      </w:r>
    </w:p>
    <w:p>
      <w:pPr>
        <w:spacing w:line="360" w:lineRule="auto"/>
        <w:ind w:firstLine="420" w:firstLineChars="200"/>
        <w:rPr>
          <w:rFonts w:ascii="宋体" w:hAnsi="宋体" w:cs="宋体"/>
        </w:rPr>
      </w:pPr>
      <w:r>
        <w:rPr>
          <w:rFonts w:hint="eastAsia" w:ascii="宋体" w:hAnsi="宋体" w:cs="宋体"/>
        </w:rPr>
        <w:t>2.3.2 报价人收到修改内容后，应在报价人须知前附表规定的时间内以书面形式通知询价人，确认已收到该修改。</w:t>
      </w:r>
    </w:p>
    <w:p>
      <w:pPr>
        <w:rPr>
          <w:rFonts w:ascii="宋体" w:hAnsi="宋体" w:cs="宋体"/>
          <w:sz w:val="28"/>
          <w:szCs w:val="28"/>
        </w:rPr>
      </w:pPr>
      <w:r>
        <w:rPr>
          <w:rFonts w:hint="eastAsia" w:ascii="宋体" w:hAnsi="宋体" w:cs="宋体"/>
          <w:sz w:val="28"/>
          <w:szCs w:val="28"/>
        </w:rPr>
        <w:t>3. 报价文件</w:t>
      </w:r>
    </w:p>
    <w:p>
      <w:pPr>
        <w:pStyle w:val="5"/>
        <w:spacing w:before="0" w:after="0" w:line="360" w:lineRule="auto"/>
        <w:rPr>
          <w:rFonts w:ascii="宋体" w:hAnsi="宋体" w:cs="宋体"/>
          <w:sz w:val="28"/>
          <w:szCs w:val="28"/>
        </w:rPr>
      </w:pPr>
      <w:r>
        <w:rPr>
          <w:rFonts w:hint="eastAsia" w:ascii="宋体" w:hAnsi="宋体" w:cs="宋体"/>
          <w:sz w:val="28"/>
          <w:szCs w:val="28"/>
        </w:rPr>
        <w:t>3.1 报价文件的组成</w:t>
      </w:r>
    </w:p>
    <w:p>
      <w:pPr>
        <w:spacing w:line="360" w:lineRule="auto"/>
        <w:ind w:firstLine="420" w:firstLineChars="200"/>
        <w:rPr>
          <w:rFonts w:ascii="宋体" w:hAnsi="宋体" w:cs="宋体"/>
        </w:rPr>
      </w:pPr>
      <w:r>
        <w:rPr>
          <w:rFonts w:hint="eastAsia" w:ascii="宋体" w:hAnsi="宋体" w:cs="宋体"/>
        </w:rPr>
        <w:t>3.1.1报价文件应包括下列内容：</w:t>
      </w:r>
    </w:p>
    <w:p>
      <w:pPr>
        <w:spacing w:line="360" w:lineRule="auto"/>
        <w:ind w:firstLine="420" w:firstLineChars="200"/>
        <w:rPr>
          <w:rFonts w:ascii="宋体" w:hAnsi="宋体" w:cs="宋体"/>
        </w:rPr>
      </w:pPr>
      <w:r>
        <w:rPr>
          <w:rFonts w:hint="eastAsia" w:ascii="宋体" w:hAnsi="宋体" w:cs="宋体"/>
        </w:rPr>
        <w:t>(1)报价函及报价函附录；</w:t>
      </w:r>
    </w:p>
    <w:p>
      <w:pPr>
        <w:spacing w:line="360" w:lineRule="auto"/>
        <w:ind w:firstLine="420" w:firstLineChars="200"/>
        <w:rPr>
          <w:rFonts w:ascii="宋体" w:hAnsi="宋体" w:cs="宋体"/>
        </w:rPr>
      </w:pPr>
      <w:r>
        <w:rPr>
          <w:rFonts w:hint="eastAsia" w:ascii="宋体" w:hAnsi="宋体" w:cs="宋体"/>
        </w:rPr>
        <w:t>(2)法定代表人身份证明或附有法定代表人身份证明的授权委托书；</w:t>
      </w:r>
    </w:p>
    <w:p>
      <w:pPr>
        <w:spacing w:line="360" w:lineRule="auto"/>
        <w:ind w:firstLine="420" w:firstLineChars="200"/>
        <w:rPr>
          <w:rFonts w:ascii="宋体" w:hAnsi="宋体" w:cs="宋体"/>
        </w:rPr>
      </w:pPr>
      <w:r>
        <w:rPr>
          <w:rFonts w:hint="eastAsia" w:ascii="宋体" w:hAnsi="宋体" w:cs="宋体"/>
        </w:rPr>
        <w:t>(3)已标价工程量清单；</w:t>
      </w:r>
    </w:p>
    <w:p>
      <w:pPr>
        <w:spacing w:line="360" w:lineRule="auto"/>
        <w:ind w:firstLine="420" w:firstLineChars="200"/>
        <w:rPr>
          <w:rFonts w:ascii="宋体" w:hAnsi="宋体" w:cs="宋体"/>
        </w:rPr>
      </w:pPr>
      <w:r>
        <w:rPr>
          <w:rFonts w:hint="eastAsia" w:ascii="宋体" w:hAnsi="宋体" w:cs="宋体"/>
        </w:rPr>
        <w:t xml:space="preserve">(4)施工组织设计； </w:t>
      </w:r>
    </w:p>
    <w:p>
      <w:pPr>
        <w:spacing w:line="360" w:lineRule="auto"/>
        <w:ind w:firstLine="420" w:firstLineChars="200"/>
        <w:rPr>
          <w:rFonts w:ascii="宋体" w:hAnsi="宋体" w:cs="宋体"/>
        </w:rPr>
      </w:pPr>
      <w:r>
        <w:rPr>
          <w:rFonts w:hint="eastAsia" w:ascii="宋体" w:hAnsi="宋体" w:cs="宋体"/>
        </w:rPr>
        <w:t>(5)项目管理机构；</w:t>
      </w:r>
    </w:p>
    <w:p>
      <w:pPr>
        <w:spacing w:line="360" w:lineRule="auto"/>
        <w:ind w:firstLine="420" w:firstLineChars="200"/>
        <w:rPr>
          <w:rFonts w:ascii="宋体" w:hAnsi="宋体" w:cs="宋体"/>
        </w:rPr>
      </w:pPr>
      <w:r>
        <w:rPr>
          <w:rFonts w:hint="eastAsia" w:ascii="宋体" w:hAnsi="宋体" w:cs="宋体"/>
        </w:rPr>
        <w:t>(6)资格审查资料；</w:t>
      </w:r>
    </w:p>
    <w:p>
      <w:pPr>
        <w:spacing w:line="360" w:lineRule="auto"/>
        <w:ind w:firstLine="420" w:firstLineChars="200"/>
        <w:rPr>
          <w:rFonts w:ascii="宋体" w:hAnsi="宋体" w:cs="宋体"/>
        </w:rPr>
      </w:pPr>
      <w:r>
        <w:rPr>
          <w:rFonts w:hint="eastAsia" w:ascii="宋体" w:hAnsi="宋体" w:cs="宋体"/>
        </w:rPr>
        <w:t>(7)报价人须知前附表规定的其他材料。</w:t>
      </w:r>
    </w:p>
    <w:p>
      <w:pPr>
        <w:pStyle w:val="5"/>
        <w:spacing w:before="0" w:after="0" w:line="360" w:lineRule="auto"/>
        <w:rPr>
          <w:rFonts w:ascii="宋体" w:hAnsi="宋体" w:cs="宋体"/>
          <w:sz w:val="28"/>
          <w:szCs w:val="28"/>
        </w:rPr>
      </w:pPr>
      <w:bookmarkStart w:id="48" w:name="_Toc144974516"/>
      <w:bookmarkStart w:id="49" w:name="_Toc152045548"/>
      <w:bookmarkStart w:id="50" w:name="_Toc152042324"/>
      <w:bookmarkStart w:id="51" w:name="_Toc179632566"/>
      <w:r>
        <w:rPr>
          <w:rFonts w:hint="eastAsia" w:ascii="宋体" w:hAnsi="宋体" w:cs="宋体"/>
          <w:sz w:val="28"/>
          <w:szCs w:val="28"/>
        </w:rPr>
        <w:t>3.2 报价</w:t>
      </w:r>
      <w:bookmarkEnd w:id="48"/>
      <w:bookmarkEnd w:id="49"/>
      <w:bookmarkEnd w:id="50"/>
      <w:bookmarkEnd w:id="51"/>
    </w:p>
    <w:p>
      <w:pPr>
        <w:spacing w:line="360" w:lineRule="auto"/>
        <w:ind w:firstLine="420" w:firstLineChars="200"/>
        <w:rPr>
          <w:rFonts w:ascii="宋体" w:hAnsi="宋体" w:cs="宋体"/>
        </w:rPr>
      </w:pPr>
      <w:r>
        <w:rPr>
          <w:rFonts w:hint="eastAsia" w:ascii="宋体" w:hAnsi="宋体" w:cs="宋体"/>
        </w:rPr>
        <w:t>3.2.1 报价人应按第五章“工程量清单”的要求填写相应表格。</w:t>
      </w:r>
    </w:p>
    <w:p>
      <w:pPr>
        <w:spacing w:line="360" w:lineRule="auto"/>
        <w:ind w:firstLine="420" w:firstLineChars="200"/>
      </w:pPr>
      <w:r>
        <w:rPr>
          <w:rFonts w:hint="eastAsia" w:ascii="宋体" w:hAnsi="宋体" w:cs="宋体"/>
        </w:rPr>
        <w:t>3.2.2 报价人在询价截止时间前修改报价函中的报价总价，应同时修改第五章“工程量清单”中的相应报价。此修改须符合本章第4.3款的有关要求。</w:t>
      </w:r>
      <w:r>
        <w:rPr>
          <w:rFonts w:hint="eastAsia"/>
        </w:rPr>
        <w:t>　　</w:t>
      </w:r>
    </w:p>
    <w:p>
      <w:pPr>
        <w:pStyle w:val="5"/>
        <w:spacing w:before="0" w:after="0" w:line="360" w:lineRule="auto"/>
        <w:rPr>
          <w:rFonts w:ascii="宋体" w:hAnsi="宋体" w:cs="宋体"/>
          <w:sz w:val="28"/>
          <w:szCs w:val="28"/>
        </w:rPr>
      </w:pPr>
      <w:bookmarkStart w:id="52" w:name="_Toc144974517"/>
      <w:bookmarkStart w:id="53" w:name="_Toc179632567"/>
      <w:bookmarkStart w:id="54" w:name="_Toc152042325"/>
      <w:bookmarkStart w:id="55" w:name="_Toc152045549"/>
      <w:r>
        <w:rPr>
          <w:rFonts w:hint="eastAsia" w:ascii="宋体" w:hAnsi="宋体" w:cs="宋体"/>
          <w:sz w:val="28"/>
          <w:szCs w:val="28"/>
        </w:rPr>
        <w:t>3.3 报价有效期</w:t>
      </w:r>
      <w:bookmarkEnd w:id="52"/>
      <w:bookmarkEnd w:id="53"/>
      <w:bookmarkEnd w:id="54"/>
      <w:bookmarkEnd w:id="55"/>
    </w:p>
    <w:p>
      <w:pPr>
        <w:spacing w:line="360" w:lineRule="auto"/>
        <w:ind w:firstLine="420" w:firstLineChars="200"/>
        <w:rPr>
          <w:rFonts w:ascii="宋体" w:hAnsi="宋体" w:cs="宋体"/>
        </w:rPr>
      </w:pPr>
      <w:r>
        <w:rPr>
          <w:rFonts w:hint="eastAsia" w:ascii="宋体" w:hAnsi="宋体" w:cs="宋体"/>
        </w:rPr>
        <w:t>3.3.1 在报价人须知前附表规定的报价有效期内，报价人不得要求撤销或修改其报价文件。</w:t>
      </w:r>
    </w:p>
    <w:p>
      <w:pPr>
        <w:spacing w:line="360" w:lineRule="auto"/>
        <w:ind w:firstLine="420" w:firstLineChars="200"/>
      </w:pPr>
      <w:r>
        <w:rPr>
          <w:rFonts w:hint="eastAsia" w:ascii="宋体" w:hAnsi="宋体" w:cs="宋体"/>
        </w:rPr>
        <w:t>3.3.2出现特殊情况需要延长报价有效期的，询价人以书面形式通知所有报价人延长报价有效期。</w:t>
      </w:r>
      <w:r>
        <w:rPr>
          <w:rFonts w:hint="eastAsia"/>
        </w:rPr>
        <w:t xml:space="preserve"> </w:t>
      </w:r>
    </w:p>
    <w:p>
      <w:pPr>
        <w:pStyle w:val="5"/>
        <w:tabs>
          <w:tab w:val="left" w:pos="2564"/>
        </w:tabs>
        <w:spacing w:before="0" w:after="0" w:line="360" w:lineRule="auto"/>
        <w:rPr>
          <w:rFonts w:hint="eastAsia" w:ascii="宋体" w:hAnsi="宋体" w:cs="宋体"/>
          <w:sz w:val="28"/>
          <w:szCs w:val="28"/>
          <w:lang w:eastAsia="zh-CN"/>
        </w:rPr>
      </w:pPr>
      <w:bookmarkStart w:id="56" w:name="_Toc152042326"/>
      <w:bookmarkStart w:id="57" w:name="_Toc144974518"/>
      <w:bookmarkStart w:id="58" w:name="_Toc179632568"/>
      <w:bookmarkStart w:id="59" w:name="_Toc152045550"/>
      <w:r>
        <w:rPr>
          <w:rFonts w:hint="eastAsia" w:ascii="宋体" w:hAnsi="宋体" w:cs="宋体"/>
          <w:sz w:val="28"/>
          <w:szCs w:val="28"/>
        </w:rPr>
        <w:t>3.4 报价保证金</w:t>
      </w:r>
      <w:bookmarkEnd w:id="56"/>
      <w:bookmarkEnd w:id="57"/>
      <w:bookmarkEnd w:id="58"/>
      <w:bookmarkEnd w:id="59"/>
      <w:bookmarkStart w:id="60" w:name="_Toc152045552"/>
      <w:bookmarkStart w:id="61" w:name="_Toc144974520"/>
      <w:bookmarkStart w:id="62" w:name="_Toc179632570"/>
      <w:bookmarkStart w:id="63" w:name="_Toc152042328"/>
      <w:r>
        <w:rPr>
          <w:rFonts w:hint="eastAsia" w:ascii="宋体" w:hAnsi="宋体" w:cs="宋体"/>
          <w:sz w:val="28"/>
          <w:szCs w:val="28"/>
          <w:lang w:eastAsia="zh-CN"/>
        </w:rPr>
        <w:tab/>
      </w:r>
    </w:p>
    <w:p>
      <w:pPr>
        <w:rPr>
          <w:rFonts w:hint="default"/>
          <w:lang w:val="en-US" w:eastAsia="zh-CN"/>
        </w:rPr>
      </w:pPr>
      <w:r>
        <w:rPr>
          <w:rFonts w:hint="eastAsia"/>
          <w:lang w:val="en-US" w:eastAsia="zh-CN"/>
        </w:rPr>
        <w:t>3.4.1按照投标人须知前附表规定的时间、金额向规定的账户缴纳报价保证金</w:t>
      </w:r>
    </w:p>
    <w:p>
      <w:pPr>
        <w:pStyle w:val="5"/>
        <w:spacing w:before="0" w:after="0" w:line="360" w:lineRule="auto"/>
        <w:rPr>
          <w:rFonts w:ascii="宋体" w:hAnsi="宋体" w:cs="宋体"/>
          <w:sz w:val="28"/>
          <w:szCs w:val="28"/>
        </w:rPr>
      </w:pPr>
      <w:r>
        <w:rPr>
          <w:rFonts w:hint="eastAsia" w:ascii="宋体" w:hAnsi="宋体" w:cs="宋体"/>
          <w:sz w:val="28"/>
          <w:szCs w:val="28"/>
        </w:rPr>
        <w:t>3.6 资格审查资料</w:t>
      </w:r>
      <w:bookmarkEnd w:id="60"/>
      <w:bookmarkEnd w:id="61"/>
      <w:bookmarkEnd w:id="62"/>
      <w:bookmarkEnd w:id="63"/>
    </w:p>
    <w:p>
      <w:pPr>
        <w:spacing w:line="360" w:lineRule="auto"/>
        <w:ind w:firstLine="420" w:firstLineChars="200"/>
        <w:rPr>
          <w:rFonts w:ascii="宋体" w:hAnsi="宋体" w:cs="宋体"/>
          <w:color w:val="000000" w:themeColor="text1"/>
        </w:rPr>
      </w:pPr>
      <w:r>
        <w:rPr>
          <w:rFonts w:hint="eastAsia" w:ascii="宋体" w:hAnsi="宋体" w:cs="宋体"/>
          <w:color w:val="000000" w:themeColor="text1"/>
        </w:rPr>
        <w:t>3.6.1 “报价人基本情况表”应附报价人营业执照副本及其年检合格的证明材料、资质证书副本和安全生产许可证等材料的复印件。</w:t>
      </w:r>
    </w:p>
    <w:p>
      <w:pPr>
        <w:spacing w:line="360" w:lineRule="auto"/>
        <w:ind w:firstLine="420" w:firstLineChars="200"/>
        <w:rPr>
          <w:rFonts w:ascii="宋体" w:hAnsi="宋体" w:cs="宋体"/>
          <w:color w:val="000000" w:themeColor="text1"/>
        </w:rPr>
      </w:pPr>
      <w:r>
        <w:rPr>
          <w:rFonts w:hint="eastAsia" w:ascii="宋体" w:hAnsi="宋体" w:cs="宋体"/>
          <w:color w:val="000000" w:themeColor="text1"/>
        </w:rPr>
        <w:t>3.6.2 “近年完成的类似项目情况表”应附中标通知书或合同协议书、工程接收证书(工程交工工验收证书)的复印件，具体年份要求见报价人须知前附表。每张表格只填写一个项目，并标明序号。</w:t>
      </w:r>
    </w:p>
    <w:p>
      <w:pPr>
        <w:spacing w:line="360" w:lineRule="auto"/>
        <w:ind w:firstLine="420" w:firstLineChars="200"/>
        <w:rPr>
          <w:rFonts w:ascii="宋体" w:hAnsi="宋体" w:cs="宋体"/>
          <w:color w:val="000000" w:themeColor="text1"/>
        </w:rPr>
      </w:pPr>
      <w:r>
        <w:rPr>
          <w:rFonts w:hint="eastAsia" w:ascii="宋体" w:hAnsi="宋体" w:cs="宋体"/>
          <w:color w:val="000000" w:themeColor="text1"/>
        </w:rPr>
        <w:t>3.6.3“近年发生的诉讼及仲裁情况”应说明相关情况，并附法院或仲裁机构作出的判决、裁决等有关法律文书复印件，具体年份要求见投标人须知前附表。</w:t>
      </w:r>
    </w:p>
    <w:p>
      <w:pPr>
        <w:pStyle w:val="5"/>
        <w:spacing w:before="0" w:after="0" w:line="360" w:lineRule="auto"/>
        <w:rPr>
          <w:rFonts w:ascii="宋体" w:hAnsi="宋体" w:cs="宋体"/>
          <w:sz w:val="28"/>
          <w:szCs w:val="28"/>
        </w:rPr>
      </w:pPr>
      <w:bookmarkStart w:id="64" w:name="_Toc144974521"/>
      <w:bookmarkStart w:id="65" w:name="_Toc152042329"/>
      <w:bookmarkStart w:id="66" w:name="_Toc179632571"/>
      <w:bookmarkStart w:id="67" w:name="_Toc152045553"/>
      <w:r>
        <w:rPr>
          <w:rFonts w:hint="eastAsia" w:ascii="宋体" w:hAnsi="宋体" w:cs="宋体"/>
          <w:sz w:val="28"/>
          <w:szCs w:val="28"/>
        </w:rPr>
        <w:t>3.7 备选报价方案</w:t>
      </w:r>
      <w:bookmarkEnd w:id="64"/>
      <w:bookmarkEnd w:id="65"/>
      <w:bookmarkEnd w:id="66"/>
      <w:bookmarkEnd w:id="67"/>
    </w:p>
    <w:p>
      <w:pPr>
        <w:spacing w:line="360" w:lineRule="auto"/>
        <w:ind w:firstLine="420" w:firstLineChars="200"/>
        <w:rPr>
          <w:color w:val="000000" w:themeColor="text1"/>
        </w:rPr>
      </w:pPr>
      <w:r>
        <w:rPr>
          <w:rFonts w:hint="eastAsia" w:ascii="宋体" w:hAnsi="宋体" w:cs="宋体"/>
          <w:color w:val="000000" w:themeColor="text1"/>
        </w:rPr>
        <w:t>3.7.1</w:t>
      </w:r>
      <w:r>
        <w:rPr>
          <w:rFonts w:hint="eastAsia"/>
          <w:color w:val="000000" w:themeColor="text1"/>
        </w:rPr>
        <w:t>除报价人须知前附表另有规定外，报价人不得递交备选报价方案。允许报价人递交备选报价方案的，只有成交人所递交的备选投标方案方可予以考虑。评标委员会认为中标人的备选报价方案优于其按照询价文件要求编制的报价方案的，询价人可以接受该备选报价方案。</w:t>
      </w:r>
    </w:p>
    <w:p>
      <w:pPr>
        <w:pStyle w:val="5"/>
        <w:spacing w:before="0" w:after="0" w:line="360" w:lineRule="auto"/>
        <w:rPr>
          <w:rFonts w:ascii="宋体" w:hAnsi="宋体" w:cs="宋体"/>
          <w:sz w:val="28"/>
          <w:szCs w:val="28"/>
        </w:rPr>
      </w:pPr>
      <w:bookmarkStart w:id="68" w:name="_Toc152042330"/>
      <w:bookmarkStart w:id="69" w:name="_Toc152045554"/>
      <w:bookmarkStart w:id="70" w:name="_Toc144974522"/>
      <w:bookmarkStart w:id="71" w:name="_Toc179632572"/>
      <w:r>
        <w:rPr>
          <w:rFonts w:hint="eastAsia" w:ascii="宋体" w:hAnsi="宋体" w:cs="宋体"/>
          <w:sz w:val="28"/>
          <w:szCs w:val="28"/>
        </w:rPr>
        <w:t>3.8 报价文件的编制</w:t>
      </w:r>
      <w:bookmarkEnd w:id="68"/>
      <w:bookmarkEnd w:id="69"/>
      <w:bookmarkEnd w:id="70"/>
      <w:bookmarkEnd w:id="71"/>
    </w:p>
    <w:p>
      <w:pPr>
        <w:spacing w:line="360" w:lineRule="auto"/>
        <w:ind w:firstLine="420" w:firstLineChars="200"/>
        <w:rPr>
          <w:rFonts w:ascii="宋体" w:hAnsi="宋体" w:cs="宋体"/>
        </w:rPr>
      </w:pPr>
      <w:r>
        <w:rPr>
          <w:rFonts w:hint="eastAsia" w:ascii="宋体" w:hAnsi="宋体" w:cs="宋体"/>
        </w:rPr>
        <w:t>3.8.1报价文件应按第八章“报价文件格式”进行编写，如有必要，可以增加附页，作为报价文件的组成部分。其中，报价函附录在满足询价文件实质性要求的基础上，可以提出比询价文件要求更有利于询价人的承诺。</w:t>
      </w:r>
    </w:p>
    <w:p>
      <w:pPr>
        <w:spacing w:line="360" w:lineRule="auto"/>
        <w:ind w:firstLine="420" w:firstLineChars="200"/>
        <w:rPr>
          <w:rFonts w:ascii="宋体" w:hAnsi="宋体" w:cs="宋体"/>
        </w:rPr>
      </w:pPr>
      <w:r>
        <w:rPr>
          <w:rFonts w:hint="eastAsia" w:ascii="宋体" w:hAnsi="宋体" w:cs="宋体"/>
        </w:rPr>
        <w:t>3.8.2 报价文件应当对询价文件有关工期、投标有效期、质量要求、技术标准和要求、询价范围等实质性内容作出响应。</w:t>
      </w:r>
    </w:p>
    <w:p>
      <w:pPr>
        <w:spacing w:line="360" w:lineRule="auto"/>
        <w:ind w:firstLine="420" w:firstLineChars="200"/>
        <w:rPr>
          <w:rFonts w:ascii="宋体" w:hAnsi="宋体" w:cs="宋体"/>
        </w:rPr>
      </w:pPr>
      <w:r>
        <w:rPr>
          <w:rFonts w:hint="eastAsia" w:ascii="宋体" w:hAnsi="宋体" w:cs="宋体"/>
        </w:rPr>
        <w:t xml:space="preserve">3.8.3报价文件应用不褪色的材料书写或打印，并由报价人的法定代表人或其委托代理人签字或盖单位章。委托代理人签字的，报价文件应附法定代表人签署的授权委托书。报价文件应尽量避免涂改、行间插字或删除。如果出现上述情况，改动之处应加盖单位章或由报价人的法定代表人或其授权的代理人签字确认。签字或盖章的具体要求见报价人须知前附表。 </w:t>
      </w:r>
    </w:p>
    <w:p>
      <w:pPr>
        <w:spacing w:line="360" w:lineRule="auto"/>
        <w:ind w:firstLine="420" w:firstLineChars="200"/>
        <w:rPr>
          <w:rFonts w:ascii="宋体" w:hAnsi="宋体" w:cs="宋体"/>
        </w:rPr>
      </w:pPr>
      <w:r>
        <w:rPr>
          <w:rFonts w:hint="eastAsia" w:ascii="宋体" w:hAnsi="宋体" w:cs="宋体"/>
        </w:rPr>
        <w:t>3.8.4 报价文件正本一份, 副本份数见报价人须知前附表。正本和副本的封面上应清楚地标记“正本”或“副本”的字样。当副本和正本不一致时，以正本为准。</w:t>
      </w:r>
    </w:p>
    <w:p>
      <w:pPr>
        <w:spacing w:line="360" w:lineRule="auto"/>
        <w:ind w:firstLine="420" w:firstLineChars="200"/>
      </w:pPr>
      <w:r>
        <w:rPr>
          <w:rFonts w:hint="eastAsia" w:ascii="宋体" w:hAnsi="宋体" w:cs="宋体"/>
        </w:rPr>
        <w:t>3.8.5 报价文件的正本与副本应分别装订成册，并编制目录，具体装订要求见报价人须知前附表规定。</w:t>
      </w:r>
    </w:p>
    <w:p>
      <w:pPr>
        <w:rPr>
          <w:rFonts w:ascii="宋体" w:hAnsi="宋体" w:cs="宋体"/>
          <w:sz w:val="28"/>
          <w:szCs w:val="28"/>
        </w:rPr>
      </w:pPr>
      <w:r>
        <w:rPr>
          <w:rFonts w:hint="eastAsia" w:ascii="宋体" w:hAnsi="宋体" w:cs="宋体"/>
          <w:sz w:val="28"/>
          <w:szCs w:val="28"/>
        </w:rPr>
        <w:t>4. 报价</w:t>
      </w:r>
    </w:p>
    <w:p>
      <w:pPr>
        <w:pStyle w:val="5"/>
        <w:spacing w:before="0" w:after="0" w:line="360" w:lineRule="auto"/>
        <w:rPr>
          <w:rFonts w:ascii="宋体" w:hAnsi="宋体" w:cs="宋体"/>
          <w:sz w:val="28"/>
          <w:szCs w:val="28"/>
        </w:rPr>
      </w:pPr>
      <w:bookmarkStart w:id="72" w:name="_Toc152045556"/>
      <w:bookmarkStart w:id="73" w:name="_Toc152042332"/>
      <w:bookmarkStart w:id="74" w:name="_Toc179632574"/>
      <w:bookmarkStart w:id="75" w:name="_Toc144974524"/>
      <w:r>
        <w:rPr>
          <w:rFonts w:hint="eastAsia" w:ascii="宋体" w:hAnsi="宋体" w:cs="宋体"/>
          <w:sz w:val="28"/>
          <w:szCs w:val="28"/>
        </w:rPr>
        <w:t>4.1 报价文件的密封和标记</w:t>
      </w:r>
      <w:bookmarkEnd w:id="72"/>
      <w:bookmarkEnd w:id="73"/>
      <w:bookmarkEnd w:id="74"/>
      <w:bookmarkEnd w:id="75"/>
    </w:p>
    <w:p>
      <w:pPr>
        <w:spacing w:line="360" w:lineRule="auto"/>
        <w:ind w:firstLine="420" w:firstLineChars="200"/>
        <w:rPr>
          <w:rFonts w:ascii="宋体" w:hAnsi="宋体" w:cs="宋体"/>
        </w:rPr>
      </w:pPr>
      <w:r>
        <w:rPr>
          <w:rFonts w:hint="eastAsia" w:ascii="宋体" w:hAnsi="宋体" w:cs="宋体"/>
        </w:rPr>
        <w:t>4.1.1报价文件的正本与副本应分开包装，加贴封条，并在封套的封口处加盖报价人单位章。</w:t>
      </w:r>
    </w:p>
    <w:p>
      <w:pPr>
        <w:spacing w:line="360" w:lineRule="auto"/>
        <w:ind w:firstLine="420" w:firstLineChars="200"/>
        <w:rPr>
          <w:rFonts w:ascii="宋体" w:hAnsi="宋体" w:cs="宋体"/>
        </w:rPr>
      </w:pPr>
      <w:r>
        <w:rPr>
          <w:rFonts w:hint="eastAsia" w:ascii="宋体" w:hAnsi="宋体" w:cs="宋体"/>
        </w:rPr>
        <w:t>4.1.2 报价文件的封套上应清楚地标记“正本”或“副本”字样。</w:t>
      </w:r>
    </w:p>
    <w:p>
      <w:pPr>
        <w:spacing w:line="360" w:lineRule="auto"/>
        <w:ind w:firstLine="420" w:firstLineChars="200"/>
        <w:rPr>
          <w:rFonts w:ascii="宋体" w:hAnsi="宋体" w:cs="宋体"/>
        </w:rPr>
      </w:pPr>
      <w:r>
        <w:rPr>
          <w:rFonts w:hint="eastAsia" w:ascii="宋体" w:hAnsi="宋体" w:cs="宋体"/>
        </w:rPr>
        <w:t>4.1.3 未按本章第4.1.1项或第4.1.2项要求密封和加写标记的报价文件，询价人不予受理。</w:t>
      </w:r>
    </w:p>
    <w:p>
      <w:pPr>
        <w:pStyle w:val="5"/>
        <w:spacing w:before="0" w:after="0" w:line="360" w:lineRule="auto"/>
        <w:rPr>
          <w:rFonts w:ascii="宋体" w:hAnsi="宋体" w:cs="宋体"/>
          <w:sz w:val="28"/>
          <w:szCs w:val="28"/>
        </w:rPr>
      </w:pPr>
      <w:bookmarkStart w:id="76" w:name="_Toc144974525"/>
      <w:bookmarkStart w:id="77" w:name="_Toc152045557"/>
      <w:bookmarkStart w:id="78" w:name="_Toc152042333"/>
      <w:bookmarkStart w:id="79" w:name="_Toc179632575"/>
      <w:r>
        <w:rPr>
          <w:rFonts w:hint="eastAsia" w:ascii="宋体" w:hAnsi="宋体" w:cs="宋体"/>
          <w:sz w:val="28"/>
          <w:szCs w:val="28"/>
        </w:rPr>
        <w:t>4.2 报价文件的递交</w:t>
      </w:r>
      <w:bookmarkEnd w:id="76"/>
      <w:bookmarkEnd w:id="77"/>
      <w:bookmarkEnd w:id="78"/>
      <w:bookmarkEnd w:id="79"/>
    </w:p>
    <w:p>
      <w:pPr>
        <w:spacing w:line="360" w:lineRule="auto"/>
        <w:ind w:firstLine="420" w:firstLineChars="200"/>
        <w:rPr>
          <w:rFonts w:ascii="宋体" w:hAnsi="宋体" w:cs="宋体"/>
        </w:rPr>
      </w:pPr>
      <w:r>
        <w:rPr>
          <w:rFonts w:hint="eastAsia" w:ascii="宋体" w:hAnsi="宋体" w:cs="宋体"/>
        </w:rPr>
        <w:t>4.2.1 报价人应按第一章规定的投标截止时间前递交投标文件。</w:t>
      </w:r>
    </w:p>
    <w:p>
      <w:pPr>
        <w:spacing w:line="360" w:lineRule="auto"/>
        <w:ind w:firstLine="420" w:firstLineChars="200"/>
        <w:rPr>
          <w:rFonts w:ascii="宋体" w:hAnsi="宋体" w:cs="宋体"/>
          <w:color w:val="000000" w:themeColor="text1"/>
        </w:rPr>
      </w:pPr>
      <w:r>
        <w:rPr>
          <w:rFonts w:hint="eastAsia" w:ascii="宋体" w:hAnsi="宋体" w:cs="宋体"/>
          <w:color w:val="000000" w:themeColor="text1"/>
        </w:rPr>
        <w:t>4.2.2 投标人递交投标文件的地点：见第一章。</w:t>
      </w:r>
    </w:p>
    <w:p>
      <w:pPr>
        <w:spacing w:line="360" w:lineRule="auto"/>
        <w:ind w:firstLine="420" w:firstLineChars="200"/>
        <w:rPr>
          <w:rFonts w:ascii="宋体" w:hAnsi="宋体" w:cs="宋体"/>
          <w:color w:val="000000" w:themeColor="text1"/>
        </w:rPr>
      </w:pPr>
      <w:r>
        <w:rPr>
          <w:rFonts w:hint="eastAsia" w:ascii="宋体" w:hAnsi="宋体" w:cs="宋体"/>
          <w:color w:val="000000" w:themeColor="text1"/>
        </w:rPr>
        <w:t>4.2.3 除报价人须知前附表另有规定外，递交有效响应文件的报价人少于3家，所递交报价文件全部退还。</w:t>
      </w:r>
    </w:p>
    <w:p>
      <w:pPr>
        <w:spacing w:line="360" w:lineRule="auto"/>
        <w:ind w:firstLine="420" w:firstLineChars="200"/>
      </w:pPr>
      <w:r>
        <w:rPr>
          <w:rFonts w:hint="eastAsia" w:ascii="宋体" w:hAnsi="宋体" w:cs="宋体"/>
        </w:rPr>
        <w:t>4.2.4 逾期送达的或者未送达指定地点的报价文件，询价人不予受理。</w:t>
      </w:r>
    </w:p>
    <w:p>
      <w:pPr>
        <w:pStyle w:val="5"/>
        <w:spacing w:before="0" w:after="0" w:line="360" w:lineRule="auto"/>
        <w:rPr>
          <w:rFonts w:ascii="宋体" w:hAnsi="宋体" w:cs="宋体"/>
          <w:sz w:val="28"/>
          <w:szCs w:val="28"/>
        </w:rPr>
      </w:pPr>
      <w:bookmarkStart w:id="80" w:name="_Toc179632576"/>
      <w:bookmarkStart w:id="81" w:name="_Toc144974526"/>
      <w:bookmarkStart w:id="82" w:name="_Toc152045558"/>
      <w:bookmarkStart w:id="83" w:name="_Toc152042334"/>
      <w:r>
        <w:rPr>
          <w:rFonts w:hint="eastAsia" w:ascii="宋体" w:hAnsi="宋体" w:cs="宋体"/>
          <w:sz w:val="28"/>
          <w:szCs w:val="28"/>
        </w:rPr>
        <w:t>4.3 报价文件的修改与撤回</w:t>
      </w:r>
      <w:bookmarkEnd w:id="80"/>
      <w:bookmarkEnd w:id="81"/>
      <w:bookmarkEnd w:id="82"/>
      <w:bookmarkEnd w:id="83"/>
    </w:p>
    <w:p>
      <w:pPr>
        <w:spacing w:line="360" w:lineRule="auto"/>
        <w:ind w:firstLine="420" w:firstLineChars="200"/>
        <w:rPr>
          <w:rFonts w:ascii="宋体" w:hAnsi="宋体" w:cs="宋体"/>
        </w:rPr>
      </w:pPr>
      <w:r>
        <w:rPr>
          <w:rFonts w:hint="eastAsia" w:ascii="宋体" w:hAnsi="宋体" w:cs="宋体"/>
        </w:rPr>
        <w:t>4.3.1 在本章第2.2.2项规定的投标截止时间前，报价人可以修改或撤回已递交的投标文件，但应以书面形式通知询价人。</w:t>
      </w:r>
    </w:p>
    <w:p>
      <w:pPr>
        <w:spacing w:line="360" w:lineRule="auto"/>
        <w:ind w:firstLine="420" w:firstLineChars="200"/>
        <w:rPr>
          <w:rFonts w:ascii="宋体" w:hAnsi="宋体" w:cs="宋体"/>
        </w:rPr>
      </w:pPr>
      <w:r>
        <w:rPr>
          <w:rFonts w:hint="eastAsia" w:ascii="宋体" w:hAnsi="宋体" w:cs="宋体"/>
        </w:rPr>
        <w:t>4.3.2 报价人修改或撤回已递交报价文件的书面通知应按照本章第3.7.3项的要求签字或盖章。</w:t>
      </w:r>
    </w:p>
    <w:p>
      <w:pPr>
        <w:spacing w:line="360" w:lineRule="auto"/>
        <w:ind w:firstLine="420" w:firstLineChars="200"/>
      </w:pPr>
      <w:r>
        <w:rPr>
          <w:rFonts w:hint="eastAsia" w:ascii="宋体" w:hAnsi="宋体" w:cs="宋体"/>
        </w:rPr>
        <w:t>4.3.3 修改的内容为报价文件的组成部分。修改的报价文件应按照本章第3条、第4条规定进行编制、密封、标记和递交，并标明“修改”字样。</w:t>
      </w:r>
    </w:p>
    <w:p>
      <w:pPr>
        <w:rPr>
          <w:rFonts w:ascii="宋体" w:hAnsi="宋体" w:cs="宋体"/>
          <w:sz w:val="28"/>
          <w:szCs w:val="28"/>
        </w:rPr>
      </w:pPr>
      <w:bookmarkStart w:id="84" w:name="_Toc144974527"/>
      <w:bookmarkStart w:id="85" w:name="_Toc179632577"/>
      <w:bookmarkStart w:id="86" w:name="_Toc152042335"/>
      <w:bookmarkStart w:id="87" w:name="_Toc528058005"/>
      <w:bookmarkStart w:id="88" w:name="_Toc152045559"/>
      <w:r>
        <w:rPr>
          <w:rFonts w:hint="eastAsia" w:ascii="宋体" w:hAnsi="宋体" w:cs="宋体"/>
          <w:sz w:val="28"/>
          <w:szCs w:val="28"/>
        </w:rPr>
        <w:t>5. 开标</w:t>
      </w:r>
      <w:bookmarkEnd w:id="84"/>
      <w:bookmarkEnd w:id="85"/>
      <w:bookmarkEnd w:id="86"/>
      <w:bookmarkEnd w:id="87"/>
      <w:bookmarkEnd w:id="88"/>
    </w:p>
    <w:p>
      <w:pPr>
        <w:pStyle w:val="5"/>
        <w:spacing w:before="0" w:after="0" w:line="360" w:lineRule="auto"/>
        <w:rPr>
          <w:rFonts w:ascii="宋体" w:hAnsi="宋体" w:cs="宋体"/>
          <w:sz w:val="28"/>
          <w:szCs w:val="28"/>
        </w:rPr>
      </w:pPr>
      <w:bookmarkStart w:id="89" w:name="_Toc152042336"/>
      <w:bookmarkStart w:id="90" w:name="_Toc179632578"/>
      <w:bookmarkStart w:id="91" w:name="_Toc144974528"/>
      <w:bookmarkStart w:id="92" w:name="_Toc152045560"/>
      <w:r>
        <w:rPr>
          <w:rFonts w:hint="eastAsia" w:ascii="宋体" w:hAnsi="宋体" w:cs="宋体"/>
          <w:sz w:val="28"/>
          <w:szCs w:val="28"/>
        </w:rPr>
        <w:t>5.1 开标时间和地点</w:t>
      </w:r>
      <w:bookmarkEnd w:id="89"/>
      <w:bookmarkEnd w:id="90"/>
      <w:bookmarkEnd w:id="91"/>
      <w:bookmarkEnd w:id="92"/>
    </w:p>
    <w:p>
      <w:pPr>
        <w:spacing w:line="360" w:lineRule="auto"/>
        <w:ind w:firstLine="420" w:firstLineChars="200"/>
        <w:rPr>
          <w:rFonts w:ascii="宋体" w:hAnsi="宋体" w:cs="宋体"/>
        </w:rPr>
      </w:pPr>
      <w:r>
        <w:rPr>
          <w:rFonts w:hint="eastAsia" w:ascii="宋体" w:hAnsi="宋体" w:cs="宋体"/>
        </w:rPr>
        <w:t>5.1.1按第一章规定的投标截止时间(开标时间)和地点公开开标，并邀请所有报价人的法定代表人或其委托代理人准时参加。</w:t>
      </w:r>
    </w:p>
    <w:p>
      <w:pPr>
        <w:pStyle w:val="5"/>
        <w:spacing w:before="0" w:after="0" w:line="360" w:lineRule="auto"/>
        <w:rPr>
          <w:rFonts w:ascii="宋体" w:hAnsi="宋体" w:cs="宋体"/>
          <w:sz w:val="28"/>
          <w:szCs w:val="28"/>
        </w:rPr>
      </w:pPr>
      <w:bookmarkStart w:id="93" w:name="_Toc144974529"/>
      <w:bookmarkStart w:id="94" w:name="_Toc179632579"/>
      <w:bookmarkStart w:id="95" w:name="_Toc152045561"/>
      <w:bookmarkStart w:id="96" w:name="_Toc152042337"/>
      <w:r>
        <w:rPr>
          <w:rFonts w:hint="eastAsia" w:ascii="宋体" w:hAnsi="宋体" w:cs="宋体"/>
          <w:sz w:val="28"/>
          <w:szCs w:val="28"/>
        </w:rPr>
        <w:t>5.2 开标程序</w:t>
      </w:r>
      <w:bookmarkEnd w:id="93"/>
      <w:bookmarkEnd w:id="94"/>
      <w:bookmarkEnd w:id="95"/>
      <w:bookmarkEnd w:id="96"/>
    </w:p>
    <w:p>
      <w:pPr>
        <w:spacing w:line="360" w:lineRule="auto"/>
        <w:ind w:firstLine="420" w:firstLineChars="200"/>
        <w:rPr>
          <w:rFonts w:ascii="宋体" w:hAnsi="宋体" w:cs="宋体"/>
        </w:rPr>
      </w:pPr>
      <w:r>
        <w:rPr>
          <w:rFonts w:hint="eastAsia" w:ascii="宋体" w:hAnsi="宋体" w:cs="宋体"/>
        </w:rPr>
        <w:t>5.2.1主持人按下列程序进行开标：</w:t>
      </w:r>
    </w:p>
    <w:p>
      <w:pPr>
        <w:spacing w:line="360" w:lineRule="auto"/>
        <w:ind w:firstLine="420" w:firstLineChars="200"/>
        <w:rPr>
          <w:rFonts w:ascii="宋体" w:hAnsi="宋体" w:cs="宋体"/>
        </w:rPr>
      </w:pPr>
      <w:r>
        <w:rPr>
          <w:rFonts w:hint="eastAsia" w:ascii="宋体" w:hAnsi="宋体" w:cs="宋体"/>
        </w:rPr>
        <w:t>(1)宣布开标纪律；</w:t>
      </w:r>
    </w:p>
    <w:p>
      <w:pPr>
        <w:spacing w:line="360" w:lineRule="auto"/>
        <w:ind w:firstLine="420" w:firstLineChars="200"/>
        <w:rPr>
          <w:rFonts w:ascii="宋体" w:hAnsi="宋体" w:cs="宋体"/>
        </w:rPr>
      </w:pPr>
      <w:r>
        <w:rPr>
          <w:rFonts w:hint="eastAsia" w:ascii="宋体" w:hAnsi="宋体" w:cs="宋体"/>
        </w:rPr>
        <w:t>(2)公布在投标截止时间前递交报价文件的报价人名称，并点名确认报价人是否派人到场；</w:t>
      </w:r>
    </w:p>
    <w:p>
      <w:pPr>
        <w:spacing w:line="360" w:lineRule="auto"/>
        <w:ind w:firstLine="420" w:firstLineChars="200"/>
        <w:rPr>
          <w:rFonts w:ascii="宋体" w:hAnsi="宋体" w:cs="宋体"/>
        </w:rPr>
      </w:pPr>
      <w:r>
        <w:rPr>
          <w:rFonts w:hint="eastAsia" w:ascii="宋体" w:hAnsi="宋体" w:cs="宋体"/>
        </w:rPr>
        <w:t>(3)宣布开标人、唱标人、记录人、监标人等有关人员姓名；</w:t>
      </w:r>
    </w:p>
    <w:p>
      <w:pPr>
        <w:spacing w:line="360" w:lineRule="auto"/>
        <w:ind w:firstLine="420" w:firstLineChars="200"/>
        <w:rPr>
          <w:rFonts w:ascii="宋体" w:hAnsi="宋体" w:cs="宋体"/>
        </w:rPr>
      </w:pPr>
      <w:r>
        <w:rPr>
          <w:rFonts w:hint="eastAsia" w:ascii="宋体" w:hAnsi="宋体" w:cs="宋体"/>
        </w:rPr>
        <w:t>(4)按照报价人须知前附表规定检查投标文件的密封情况；</w:t>
      </w:r>
    </w:p>
    <w:p>
      <w:pPr>
        <w:spacing w:line="360" w:lineRule="auto"/>
        <w:ind w:firstLine="420" w:firstLineChars="200"/>
        <w:rPr>
          <w:rFonts w:ascii="宋体" w:hAnsi="宋体" w:cs="宋体"/>
        </w:rPr>
      </w:pPr>
      <w:r>
        <w:rPr>
          <w:rFonts w:hint="eastAsia" w:ascii="宋体" w:hAnsi="宋体" w:cs="宋体"/>
        </w:rPr>
        <w:t>(5)按照报价人须知前附表的规定确定并宣布报价文件开标顺序；</w:t>
      </w:r>
    </w:p>
    <w:p>
      <w:pPr>
        <w:spacing w:line="360" w:lineRule="auto"/>
        <w:ind w:firstLine="420" w:firstLineChars="200"/>
        <w:rPr>
          <w:rFonts w:ascii="宋体" w:hAnsi="宋体" w:cs="宋体"/>
        </w:rPr>
      </w:pPr>
      <w:r>
        <w:rPr>
          <w:rFonts w:hint="eastAsia" w:ascii="宋体" w:hAnsi="宋体" w:cs="宋体"/>
        </w:rPr>
        <w:t xml:space="preserve">(6)设有标底的，公布标底； </w:t>
      </w:r>
    </w:p>
    <w:p>
      <w:pPr>
        <w:spacing w:line="360" w:lineRule="auto"/>
        <w:ind w:firstLine="420" w:firstLineChars="200"/>
        <w:rPr>
          <w:rFonts w:ascii="宋体" w:hAnsi="宋体" w:cs="宋体"/>
        </w:rPr>
      </w:pPr>
      <w:r>
        <w:rPr>
          <w:rFonts w:hint="eastAsia" w:ascii="宋体" w:hAnsi="宋体" w:cs="宋体"/>
        </w:rPr>
        <w:t>(7)按照宣布的开标顺序当众开标，公布报价人名称、标段名称、报价、质量目标、工期及其他内容，并记录在案；</w:t>
      </w:r>
    </w:p>
    <w:p>
      <w:pPr>
        <w:spacing w:line="360" w:lineRule="auto"/>
        <w:ind w:firstLine="420" w:firstLineChars="200"/>
        <w:rPr>
          <w:rFonts w:ascii="宋体" w:hAnsi="宋体" w:cs="宋体"/>
        </w:rPr>
      </w:pPr>
      <w:r>
        <w:rPr>
          <w:rFonts w:hint="eastAsia" w:ascii="宋体" w:hAnsi="宋体" w:cs="宋体"/>
        </w:rPr>
        <w:t>(8)报价人代表、询价人代表、监标人、记录人等有关人员在开标记录上签字确认；</w:t>
      </w:r>
    </w:p>
    <w:p>
      <w:pPr>
        <w:spacing w:line="360" w:lineRule="auto"/>
        <w:ind w:firstLine="420" w:firstLineChars="200"/>
      </w:pPr>
      <w:r>
        <w:rPr>
          <w:rFonts w:hint="eastAsia" w:ascii="宋体" w:hAnsi="宋体" w:cs="宋体"/>
        </w:rPr>
        <w:t>(9)开标结束。</w:t>
      </w:r>
    </w:p>
    <w:p>
      <w:pPr>
        <w:rPr>
          <w:rFonts w:ascii="宋体" w:hAnsi="宋体" w:cs="宋体"/>
          <w:sz w:val="28"/>
          <w:szCs w:val="28"/>
        </w:rPr>
      </w:pPr>
      <w:r>
        <w:rPr>
          <w:rFonts w:hint="eastAsia" w:ascii="宋体" w:hAnsi="宋体" w:cs="宋体"/>
          <w:sz w:val="28"/>
          <w:szCs w:val="28"/>
        </w:rPr>
        <w:t>6. 评标</w:t>
      </w:r>
    </w:p>
    <w:p>
      <w:pPr>
        <w:pStyle w:val="5"/>
        <w:spacing w:before="0" w:after="0" w:line="360" w:lineRule="auto"/>
        <w:rPr>
          <w:rFonts w:ascii="宋体" w:hAnsi="宋体" w:cs="宋体"/>
          <w:sz w:val="28"/>
          <w:szCs w:val="28"/>
        </w:rPr>
      </w:pPr>
      <w:r>
        <w:rPr>
          <w:rFonts w:hint="eastAsia" w:ascii="宋体" w:hAnsi="宋体" w:cs="宋体"/>
          <w:sz w:val="28"/>
          <w:szCs w:val="28"/>
        </w:rPr>
        <w:t>6.1 评审小组</w:t>
      </w:r>
    </w:p>
    <w:p>
      <w:pPr>
        <w:spacing w:line="360" w:lineRule="auto"/>
        <w:ind w:firstLine="420" w:firstLineChars="200"/>
        <w:rPr>
          <w:rFonts w:ascii="宋体" w:hAnsi="宋体" w:cs="宋体"/>
        </w:rPr>
      </w:pPr>
      <w:r>
        <w:rPr>
          <w:rFonts w:hint="eastAsia" w:ascii="宋体" w:hAnsi="宋体" w:cs="宋体"/>
        </w:rPr>
        <w:t>6.1.1 由询价人招标领导小组成员组成评审小组。</w:t>
      </w:r>
    </w:p>
    <w:p>
      <w:pPr>
        <w:spacing w:line="360" w:lineRule="auto"/>
        <w:ind w:firstLine="420" w:firstLineChars="200"/>
        <w:rPr>
          <w:rFonts w:ascii="宋体" w:hAnsi="宋体" w:cs="宋体"/>
        </w:rPr>
      </w:pPr>
      <w:r>
        <w:rPr>
          <w:rFonts w:hint="eastAsia" w:ascii="宋体" w:hAnsi="宋体" w:cs="宋体"/>
        </w:rPr>
        <w:t>6.1.2 评审小组成员有下列情形之一的，应当回避：</w:t>
      </w:r>
    </w:p>
    <w:p>
      <w:pPr>
        <w:spacing w:line="360" w:lineRule="auto"/>
        <w:ind w:firstLine="420" w:firstLineChars="200"/>
        <w:rPr>
          <w:rFonts w:ascii="宋体" w:hAnsi="宋体" w:cs="宋体"/>
        </w:rPr>
      </w:pPr>
      <w:r>
        <w:rPr>
          <w:rFonts w:hint="eastAsia" w:ascii="宋体" w:hAnsi="宋体" w:cs="宋体"/>
        </w:rPr>
        <w:t>(1)询价人或报价人的主要负责人的近亲属；</w:t>
      </w:r>
    </w:p>
    <w:p>
      <w:pPr>
        <w:spacing w:line="360" w:lineRule="auto"/>
        <w:ind w:firstLine="420" w:firstLineChars="200"/>
        <w:rPr>
          <w:rFonts w:ascii="宋体" w:hAnsi="宋体" w:cs="宋体"/>
        </w:rPr>
      </w:pPr>
      <w:r>
        <w:rPr>
          <w:rFonts w:hint="eastAsia" w:ascii="宋体" w:hAnsi="宋体" w:cs="宋体"/>
        </w:rPr>
        <w:t>(2)项目主管部门或者行政监督部门的人员；</w:t>
      </w:r>
    </w:p>
    <w:p>
      <w:pPr>
        <w:spacing w:line="360" w:lineRule="auto"/>
        <w:ind w:firstLine="420" w:firstLineChars="200"/>
        <w:rPr>
          <w:rFonts w:ascii="宋体" w:hAnsi="宋体" w:cs="宋体"/>
        </w:rPr>
      </w:pPr>
      <w:r>
        <w:rPr>
          <w:rFonts w:hint="eastAsia" w:ascii="宋体" w:hAnsi="宋体" w:cs="宋体"/>
        </w:rPr>
        <w:t>(3)与询价人有经济利益关系，可能影响对询价公正评审的；</w:t>
      </w:r>
    </w:p>
    <w:p>
      <w:pPr>
        <w:pStyle w:val="5"/>
        <w:spacing w:before="0" w:after="0" w:line="360" w:lineRule="auto"/>
        <w:rPr>
          <w:rFonts w:ascii="宋体" w:hAnsi="宋体" w:cs="宋体"/>
          <w:sz w:val="28"/>
          <w:szCs w:val="28"/>
        </w:rPr>
      </w:pPr>
      <w:bookmarkStart w:id="97" w:name="_Toc144974532"/>
      <w:bookmarkStart w:id="98" w:name="_Toc152045564"/>
      <w:bookmarkStart w:id="99" w:name="_Toc152042340"/>
      <w:bookmarkStart w:id="100" w:name="_Toc179632582"/>
      <w:r>
        <w:rPr>
          <w:rFonts w:hint="eastAsia" w:ascii="宋体" w:hAnsi="宋体" w:cs="宋体"/>
          <w:sz w:val="28"/>
          <w:szCs w:val="28"/>
        </w:rPr>
        <w:t>6.2 评审原则</w:t>
      </w:r>
      <w:bookmarkEnd w:id="97"/>
      <w:bookmarkEnd w:id="98"/>
      <w:bookmarkEnd w:id="99"/>
      <w:bookmarkEnd w:id="100"/>
      <w:r>
        <w:rPr>
          <w:rFonts w:hint="eastAsia" w:ascii="宋体" w:hAnsi="宋体" w:cs="宋体"/>
          <w:sz w:val="28"/>
          <w:szCs w:val="28"/>
        </w:rPr>
        <w:tab/>
      </w:r>
    </w:p>
    <w:p>
      <w:pPr>
        <w:spacing w:line="360" w:lineRule="auto"/>
        <w:ind w:firstLine="420" w:firstLineChars="200"/>
      </w:pPr>
      <w:r>
        <w:rPr>
          <w:rFonts w:hint="eastAsia" w:ascii="宋体" w:hAnsi="宋体" w:cs="宋体"/>
        </w:rPr>
        <w:t>6.2.1</w:t>
      </w:r>
      <w:r>
        <w:rPr>
          <w:rFonts w:hint="eastAsia"/>
        </w:rPr>
        <w:t>评审活动遵循公平、公正、科学和择优的原则。</w:t>
      </w:r>
    </w:p>
    <w:p>
      <w:pPr>
        <w:pStyle w:val="5"/>
        <w:spacing w:before="0" w:after="0" w:line="360" w:lineRule="auto"/>
        <w:rPr>
          <w:rFonts w:ascii="宋体" w:hAnsi="宋体" w:cs="宋体"/>
          <w:sz w:val="28"/>
          <w:szCs w:val="28"/>
        </w:rPr>
      </w:pPr>
      <w:bookmarkStart w:id="101" w:name="_Toc144974533"/>
      <w:bookmarkStart w:id="102" w:name="_Toc152045565"/>
      <w:bookmarkStart w:id="103" w:name="_Toc152042341"/>
      <w:bookmarkStart w:id="104" w:name="_Toc179632583"/>
      <w:r>
        <w:rPr>
          <w:rFonts w:hint="eastAsia" w:ascii="宋体" w:hAnsi="宋体" w:cs="宋体"/>
          <w:sz w:val="28"/>
          <w:szCs w:val="28"/>
        </w:rPr>
        <w:t>6.3 评标</w:t>
      </w:r>
      <w:bookmarkEnd w:id="101"/>
      <w:bookmarkEnd w:id="102"/>
      <w:bookmarkEnd w:id="103"/>
      <w:bookmarkEnd w:id="104"/>
    </w:p>
    <w:p>
      <w:pPr>
        <w:spacing w:line="360" w:lineRule="auto"/>
        <w:ind w:firstLine="420" w:firstLineChars="200"/>
      </w:pPr>
      <w:r>
        <w:rPr>
          <w:rFonts w:hint="eastAsia" w:ascii="宋体" w:hAnsi="宋体" w:cs="宋体"/>
        </w:rPr>
        <w:t>6.3.1</w:t>
      </w:r>
      <w:r>
        <w:rPr>
          <w:rFonts w:hint="eastAsia"/>
        </w:rPr>
        <w:t>评标小组按照第三章“评标办法”规定的方法、评审因素、标准和程序对投标文件进行评审。第三章“评标办法”没有规定的方法、评审因素和标准，不作为评标依据。</w:t>
      </w:r>
    </w:p>
    <w:p>
      <w:pPr>
        <w:rPr>
          <w:rFonts w:ascii="宋体" w:hAnsi="宋体" w:cs="宋体"/>
          <w:sz w:val="28"/>
          <w:szCs w:val="28"/>
        </w:rPr>
      </w:pPr>
      <w:bookmarkStart w:id="105" w:name="_Toc144974534"/>
      <w:bookmarkStart w:id="106" w:name="_Toc528058007"/>
      <w:bookmarkStart w:id="107" w:name="_Toc152045566"/>
      <w:bookmarkStart w:id="108" w:name="_Toc152042342"/>
      <w:bookmarkStart w:id="109" w:name="_Toc179632584"/>
      <w:r>
        <w:rPr>
          <w:rFonts w:hint="eastAsia" w:ascii="宋体" w:hAnsi="宋体" w:cs="宋体"/>
          <w:sz w:val="28"/>
          <w:szCs w:val="28"/>
        </w:rPr>
        <w:t>7. 合同授予</w:t>
      </w:r>
      <w:bookmarkEnd w:id="105"/>
      <w:bookmarkEnd w:id="106"/>
      <w:bookmarkEnd w:id="107"/>
      <w:bookmarkEnd w:id="108"/>
      <w:bookmarkEnd w:id="109"/>
    </w:p>
    <w:p>
      <w:pPr>
        <w:pStyle w:val="5"/>
        <w:spacing w:before="0" w:after="0" w:line="360" w:lineRule="auto"/>
        <w:rPr>
          <w:rFonts w:ascii="宋体" w:hAnsi="宋体" w:cs="宋体"/>
          <w:sz w:val="28"/>
          <w:szCs w:val="28"/>
        </w:rPr>
      </w:pPr>
      <w:bookmarkStart w:id="110" w:name="_Toc152042343"/>
      <w:bookmarkStart w:id="111" w:name="_Toc152045567"/>
      <w:bookmarkStart w:id="112" w:name="_Toc144974535"/>
      <w:bookmarkStart w:id="113" w:name="_Toc179632585"/>
      <w:r>
        <w:rPr>
          <w:rFonts w:hint="eastAsia" w:ascii="宋体" w:hAnsi="宋体" w:cs="宋体"/>
          <w:sz w:val="28"/>
          <w:szCs w:val="28"/>
        </w:rPr>
        <w:t>7.1 定标方式</w:t>
      </w:r>
      <w:bookmarkEnd w:id="110"/>
      <w:bookmarkEnd w:id="111"/>
      <w:bookmarkEnd w:id="112"/>
      <w:bookmarkEnd w:id="113"/>
    </w:p>
    <w:p>
      <w:pPr>
        <w:spacing w:line="360" w:lineRule="auto"/>
        <w:ind w:firstLine="420" w:firstLineChars="200"/>
        <w:rPr>
          <w:color w:val="000000" w:themeColor="text1"/>
        </w:rPr>
      </w:pPr>
      <w:r>
        <w:rPr>
          <w:rFonts w:hint="eastAsia" w:ascii="宋体" w:hAnsi="宋体" w:cs="宋体"/>
          <w:color w:val="000000" w:themeColor="text1"/>
        </w:rPr>
        <w:t>7.1.1</w:t>
      </w:r>
      <w:r>
        <w:rPr>
          <w:rFonts w:hint="eastAsia"/>
          <w:color w:val="000000" w:themeColor="text1"/>
        </w:rPr>
        <w:t>除报价人须知前附表规定评审小组直接确定成交人外，询价人依据评审小组推荐的成交候选人确定成交人，评审小组推荐成交候选人3家。</w:t>
      </w:r>
    </w:p>
    <w:p>
      <w:pPr>
        <w:pStyle w:val="5"/>
        <w:spacing w:before="0" w:after="0" w:line="360" w:lineRule="auto"/>
        <w:rPr>
          <w:rFonts w:ascii="宋体" w:hAnsi="宋体" w:cs="宋体"/>
          <w:sz w:val="28"/>
          <w:szCs w:val="28"/>
        </w:rPr>
      </w:pPr>
      <w:bookmarkStart w:id="114" w:name="_Toc152042344"/>
      <w:bookmarkStart w:id="115" w:name="_Toc144974536"/>
      <w:bookmarkStart w:id="116" w:name="_Toc152045568"/>
      <w:bookmarkStart w:id="117" w:name="_Toc179632586"/>
      <w:r>
        <w:rPr>
          <w:rFonts w:hint="eastAsia" w:ascii="宋体" w:hAnsi="宋体" w:cs="宋体"/>
          <w:sz w:val="28"/>
          <w:szCs w:val="28"/>
        </w:rPr>
        <w:t>7.2 成交通知</w:t>
      </w:r>
      <w:bookmarkEnd w:id="114"/>
      <w:bookmarkEnd w:id="115"/>
      <w:bookmarkEnd w:id="116"/>
      <w:bookmarkEnd w:id="117"/>
    </w:p>
    <w:p>
      <w:pPr>
        <w:spacing w:line="360" w:lineRule="auto"/>
        <w:ind w:firstLine="420" w:firstLineChars="200"/>
        <w:rPr>
          <w:rFonts w:ascii="宋体" w:hAnsi="宋体" w:cs="宋体"/>
        </w:rPr>
      </w:pPr>
      <w:r>
        <w:rPr>
          <w:rFonts w:hint="eastAsia" w:ascii="宋体" w:hAnsi="宋体" w:cs="宋体"/>
        </w:rPr>
        <w:t>7.2.1在本章第3.3款规定的投标有效期内，询价人以书面形式向成交人发出成交通知书。</w:t>
      </w:r>
    </w:p>
    <w:p>
      <w:pPr>
        <w:pStyle w:val="5"/>
        <w:spacing w:before="0" w:after="0" w:line="360" w:lineRule="auto"/>
        <w:rPr>
          <w:rFonts w:ascii="宋体" w:hAnsi="宋体" w:cs="宋体"/>
          <w:sz w:val="28"/>
          <w:szCs w:val="28"/>
        </w:rPr>
      </w:pPr>
      <w:bookmarkStart w:id="118" w:name="_Toc152045569"/>
      <w:bookmarkStart w:id="119" w:name="_Toc144974537"/>
      <w:bookmarkStart w:id="120" w:name="_Toc179632587"/>
      <w:bookmarkStart w:id="121" w:name="_Toc152042345"/>
      <w:r>
        <w:rPr>
          <w:rFonts w:hint="eastAsia" w:ascii="宋体" w:hAnsi="宋体" w:cs="宋体"/>
          <w:sz w:val="28"/>
          <w:szCs w:val="28"/>
        </w:rPr>
        <w:t>7.3 履约担保</w:t>
      </w:r>
      <w:bookmarkEnd w:id="118"/>
      <w:bookmarkEnd w:id="119"/>
      <w:bookmarkEnd w:id="120"/>
      <w:bookmarkEnd w:id="121"/>
    </w:p>
    <w:p>
      <w:pPr>
        <w:spacing w:line="360" w:lineRule="auto"/>
        <w:ind w:firstLine="420" w:firstLineChars="200"/>
      </w:pPr>
      <w:r>
        <w:rPr>
          <w:rFonts w:hint="eastAsia" w:ascii="宋体" w:hAnsi="宋体" w:cs="宋体"/>
        </w:rPr>
        <w:t>7.3.1见报价人须知前附表。</w:t>
      </w:r>
    </w:p>
    <w:p>
      <w:pPr>
        <w:pStyle w:val="5"/>
        <w:spacing w:before="0" w:after="0" w:line="360" w:lineRule="auto"/>
        <w:rPr>
          <w:rFonts w:ascii="宋体" w:hAnsi="宋体" w:cs="宋体"/>
          <w:sz w:val="28"/>
          <w:szCs w:val="28"/>
        </w:rPr>
      </w:pPr>
      <w:bookmarkStart w:id="122" w:name="_Toc144974538"/>
      <w:bookmarkStart w:id="123" w:name="_Toc152045570"/>
      <w:bookmarkStart w:id="124" w:name="_Toc179632588"/>
      <w:bookmarkStart w:id="125" w:name="_Toc152042346"/>
      <w:r>
        <w:rPr>
          <w:rFonts w:hint="eastAsia" w:ascii="宋体" w:hAnsi="宋体" w:cs="宋体"/>
          <w:sz w:val="28"/>
          <w:szCs w:val="28"/>
        </w:rPr>
        <w:t>7.4 签订合同</w:t>
      </w:r>
      <w:bookmarkEnd w:id="122"/>
      <w:bookmarkEnd w:id="123"/>
      <w:bookmarkEnd w:id="124"/>
      <w:bookmarkEnd w:id="125"/>
    </w:p>
    <w:p>
      <w:pPr>
        <w:spacing w:line="360" w:lineRule="auto"/>
        <w:ind w:firstLine="420" w:firstLineChars="200"/>
        <w:rPr>
          <w:rFonts w:ascii="宋体" w:hAnsi="宋体" w:cs="宋体"/>
        </w:rPr>
      </w:pPr>
      <w:r>
        <w:rPr>
          <w:rFonts w:hint="eastAsia" w:ascii="宋体" w:hAnsi="宋体" w:cs="宋体"/>
        </w:rPr>
        <w:t xml:space="preserve">7.4.1询价人和成交人应当自成交通知书发出之日起30天内，根据询价文件和成交人的报价文件订立书面合同。成交人无正当理由拒签合同的，询价人取消其成交资格；给询价人造成的损失，成交人予以赔偿。 </w:t>
      </w:r>
    </w:p>
    <w:p>
      <w:pPr>
        <w:rPr>
          <w:rFonts w:ascii="宋体" w:hAnsi="宋体" w:cs="宋体"/>
          <w:sz w:val="28"/>
          <w:szCs w:val="28"/>
        </w:rPr>
      </w:pPr>
      <w:r>
        <w:rPr>
          <w:rFonts w:hint="eastAsia" w:ascii="宋体" w:hAnsi="宋体" w:cs="宋体"/>
          <w:sz w:val="28"/>
          <w:szCs w:val="28"/>
        </w:rPr>
        <w:t>8. 重新询价和不再询价</w:t>
      </w:r>
    </w:p>
    <w:p>
      <w:pPr>
        <w:pStyle w:val="5"/>
        <w:spacing w:before="0" w:after="0" w:line="360" w:lineRule="auto"/>
        <w:rPr>
          <w:rFonts w:ascii="宋体" w:hAnsi="宋体" w:cs="宋体"/>
          <w:sz w:val="28"/>
          <w:szCs w:val="28"/>
        </w:rPr>
      </w:pPr>
      <w:r>
        <w:rPr>
          <w:rFonts w:hint="eastAsia" w:ascii="宋体" w:hAnsi="宋体" w:cs="宋体"/>
          <w:sz w:val="28"/>
          <w:szCs w:val="28"/>
        </w:rPr>
        <w:t>8.1 重新询价</w:t>
      </w:r>
    </w:p>
    <w:p>
      <w:pPr>
        <w:spacing w:line="360" w:lineRule="auto"/>
        <w:ind w:firstLine="420" w:firstLineChars="200"/>
        <w:rPr>
          <w:rFonts w:ascii="宋体" w:hAnsi="宋体" w:cs="宋体"/>
        </w:rPr>
      </w:pPr>
      <w:r>
        <w:rPr>
          <w:rFonts w:hint="eastAsia" w:ascii="宋体" w:hAnsi="宋体" w:cs="宋体"/>
        </w:rPr>
        <w:t>8.1.1有下列情形之一的，询价人将重新询价：</w:t>
      </w:r>
    </w:p>
    <w:p>
      <w:pPr>
        <w:spacing w:line="360" w:lineRule="auto"/>
        <w:ind w:firstLine="420" w:firstLineChars="200"/>
        <w:rPr>
          <w:rFonts w:ascii="宋体" w:hAnsi="宋体" w:cs="宋体"/>
        </w:rPr>
      </w:pPr>
      <w:r>
        <w:rPr>
          <w:rFonts w:hint="eastAsia" w:ascii="宋体" w:hAnsi="宋体" w:cs="宋体"/>
        </w:rPr>
        <w:t>(1)询价截止时间止，报价人少于3家的；</w:t>
      </w:r>
    </w:p>
    <w:p>
      <w:pPr>
        <w:spacing w:line="360" w:lineRule="auto"/>
        <w:ind w:firstLine="420" w:firstLineChars="200"/>
        <w:rPr>
          <w:rFonts w:ascii="宋体" w:hAnsi="宋体" w:cs="宋体"/>
        </w:rPr>
      </w:pPr>
      <w:r>
        <w:rPr>
          <w:rFonts w:hint="eastAsia" w:ascii="宋体" w:hAnsi="宋体" w:cs="宋体"/>
        </w:rPr>
        <w:t>(2)经评审委员会评审后否决所有报价的。</w:t>
      </w:r>
    </w:p>
    <w:p>
      <w:pPr>
        <w:spacing w:line="360" w:lineRule="auto"/>
        <w:rPr>
          <w:rFonts w:ascii="宋体" w:hAnsi="宋体" w:cs="宋体"/>
          <w:sz w:val="28"/>
          <w:szCs w:val="28"/>
        </w:rPr>
      </w:pPr>
      <w:r>
        <w:rPr>
          <w:rFonts w:hint="eastAsia" w:ascii="宋体" w:hAnsi="宋体" w:cs="宋体"/>
          <w:sz w:val="28"/>
          <w:szCs w:val="28"/>
        </w:rPr>
        <w:t>9. 纪律和监督</w:t>
      </w:r>
    </w:p>
    <w:p>
      <w:pPr>
        <w:pStyle w:val="5"/>
        <w:spacing w:before="0" w:after="0" w:line="360" w:lineRule="auto"/>
        <w:rPr>
          <w:rFonts w:ascii="宋体" w:hAnsi="宋体" w:cs="宋体"/>
          <w:sz w:val="28"/>
          <w:szCs w:val="28"/>
        </w:rPr>
      </w:pPr>
      <w:r>
        <w:rPr>
          <w:rFonts w:hint="eastAsia" w:ascii="宋体" w:hAnsi="宋体" w:cs="宋体"/>
          <w:sz w:val="28"/>
          <w:szCs w:val="28"/>
        </w:rPr>
        <w:t>9.1 投诉</w:t>
      </w:r>
    </w:p>
    <w:p>
      <w:pPr>
        <w:spacing w:line="360" w:lineRule="auto"/>
        <w:ind w:firstLine="420" w:firstLineChars="200"/>
      </w:pPr>
      <w:r>
        <w:rPr>
          <w:rFonts w:hint="eastAsia" w:ascii="宋体" w:hAnsi="宋体" w:cs="宋体"/>
        </w:rPr>
        <w:t>9.1.1报价</w:t>
      </w:r>
      <w:r>
        <w:rPr>
          <w:rFonts w:hint="eastAsia"/>
        </w:rPr>
        <w:t>人和其他利害关系人认为本次询价活动违反法律、法规和规章规定的，有权向有关行政监督部门投诉。</w:t>
      </w:r>
    </w:p>
    <w:p>
      <w:pPr>
        <w:rPr>
          <w:rFonts w:ascii="宋体" w:hAnsi="宋体" w:cs="宋体"/>
          <w:sz w:val="28"/>
          <w:szCs w:val="28"/>
        </w:rPr>
      </w:pPr>
    </w:p>
    <w:bookmarkEnd w:id="47"/>
    <w:p>
      <w:pPr>
        <w:pStyle w:val="2"/>
      </w:pPr>
      <w:bookmarkStart w:id="126" w:name="_Toc4227"/>
      <w:bookmarkEnd w:id="126"/>
      <w:bookmarkStart w:id="127" w:name="_Toc12250"/>
      <w:bookmarkEnd w:id="127"/>
      <w:bookmarkStart w:id="128" w:name="page34"/>
      <w:bookmarkEnd w:id="128"/>
      <w:bookmarkStart w:id="129" w:name="_Toc23361"/>
      <w:bookmarkEnd w:id="129"/>
      <w:bookmarkStart w:id="130" w:name="_Toc457482550"/>
      <w:bookmarkStart w:id="131" w:name="_Toc510604034"/>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3"/>
        <w:rPr>
          <w:rFonts w:ascii="方正小标宋简体" w:hAnsi="黑体" w:eastAsia="方正小标宋简体" w:cs="黑体"/>
          <w:b w:val="0"/>
          <w:sz w:val="36"/>
          <w:szCs w:val="36"/>
        </w:rPr>
      </w:pPr>
    </w:p>
    <w:bookmarkEnd w:id="130"/>
    <w:bookmarkEnd w:id="131"/>
    <w:p>
      <w:pPr>
        <w:pStyle w:val="3"/>
        <w:rPr>
          <w:rFonts w:ascii="方正小标宋简体" w:hAnsi="黑体" w:eastAsia="方正小标宋简体" w:cs="黑体"/>
          <w:b w:val="0"/>
          <w:sz w:val="36"/>
          <w:szCs w:val="36"/>
        </w:rPr>
      </w:pPr>
      <w:bookmarkStart w:id="132" w:name="_Toc31271_WPSOffice_Level1"/>
      <w:bookmarkStart w:id="133" w:name="_Toc6414293"/>
      <w:r>
        <w:rPr>
          <w:rFonts w:hint="eastAsia" w:ascii="方正小标宋简体" w:hAnsi="黑体" w:eastAsia="方正小标宋简体" w:cs="黑体"/>
          <w:b w:val="0"/>
          <w:sz w:val="36"/>
          <w:szCs w:val="36"/>
        </w:rPr>
        <w:t>第三章  评审办法</w:t>
      </w:r>
      <w:bookmarkEnd w:id="132"/>
      <w:bookmarkEnd w:id="133"/>
    </w:p>
    <w:p>
      <w:pPr>
        <w:widowControl/>
        <w:jc w:val="left"/>
        <w:rPr>
          <w:rFonts w:ascii="黑体" w:hAnsi="黑体" w:cs="黑体"/>
          <w:sz w:val="28"/>
          <w:szCs w:val="28"/>
        </w:rPr>
      </w:pPr>
      <w:bookmarkStart w:id="134" w:name="_Toc510604036"/>
      <w:r>
        <w:rPr>
          <w:rFonts w:ascii="黑体" w:hAnsi="黑体" w:cs="黑体"/>
          <w:sz w:val="28"/>
          <w:szCs w:val="28"/>
        </w:rPr>
        <w:br w:type="page"/>
      </w:r>
    </w:p>
    <w:bookmarkEnd w:id="134"/>
    <w:p>
      <w:pPr>
        <w:spacing w:line="360" w:lineRule="auto"/>
        <w:jc w:val="center"/>
        <w:rPr>
          <w:rFonts w:hint="eastAsia" w:ascii="新宋体" w:hAnsi="新宋体" w:eastAsia="新宋体" w:cs="新宋体"/>
          <w:sz w:val="36"/>
          <w:szCs w:val="36"/>
        </w:rPr>
      </w:pPr>
      <w:bookmarkStart w:id="135" w:name="_Toc21636_WPSOffice_Level1"/>
      <w:bookmarkStart w:id="136" w:name="_Toc31981_WPSOffice_Level1"/>
      <w:bookmarkStart w:id="137" w:name="_Toc447808676"/>
      <w:bookmarkStart w:id="138" w:name="_Toc528058012"/>
      <w:bookmarkStart w:id="139" w:name="_Toc520108164"/>
      <w:r>
        <w:rPr>
          <w:rFonts w:hint="eastAsia" w:ascii="新宋体" w:hAnsi="新宋体" w:eastAsia="新宋体" w:cs="新宋体"/>
          <w:sz w:val="36"/>
          <w:szCs w:val="36"/>
        </w:rPr>
        <w:t>评审办法(经评审的最低价法)</w:t>
      </w:r>
      <w:bookmarkEnd w:id="135"/>
    </w:p>
    <w:p>
      <w:pPr>
        <w:spacing w:line="360" w:lineRule="auto"/>
        <w:rPr>
          <w:rFonts w:ascii="黑体" w:hAnsi="黑体" w:cs="黑体"/>
          <w:sz w:val="28"/>
          <w:szCs w:val="28"/>
        </w:rPr>
      </w:pPr>
      <w:bookmarkStart w:id="140" w:name="_Toc510604038"/>
      <w:r>
        <w:rPr>
          <w:rFonts w:hint="eastAsia" w:ascii="黑体" w:hAnsi="黑体" w:cs="黑体"/>
          <w:sz w:val="28"/>
          <w:szCs w:val="28"/>
        </w:rPr>
        <w:t>评审办法前附表</w:t>
      </w:r>
      <w:bookmarkEnd w:id="140"/>
    </w:p>
    <w:tbl>
      <w:tblPr>
        <w:tblStyle w:val="52"/>
        <w:tblW w:w="9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32"/>
        <w:gridCol w:w="1111"/>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49" w:type="dxa"/>
            <w:gridSpan w:val="2"/>
            <w:vAlign w:val="center"/>
          </w:tcPr>
          <w:p>
            <w:pPr>
              <w:pStyle w:val="122"/>
              <w:spacing w:line="360" w:lineRule="auto"/>
              <w:rPr>
                <w:rFonts w:ascii="宋体" w:hAnsi="宋体" w:cs="宋体"/>
                <w:szCs w:val="21"/>
              </w:rPr>
            </w:pPr>
            <w:r>
              <w:rPr>
                <w:rFonts w:hint="eastAsia" w:ascii="宋体" w:hAnsi="宋体" w:cs="宋体"/>
                <w:szCs w:val="21"/>
              </w:rPr>
              <w:t xml:space="preserve">  条款号</w:t>
            </w:r>
          </w:p>
        </w:tc>
        <w:tc>
          <w:tcPr>
            <w:tcW w:w="1111" w:type="dxa"/>
            <w:vAlign w:val="center"/>
          </w:tcPr>
          <w:p>
            <w:pPr>
              <w:pStyle w:val="122"/>
              <w:spacing w:line="360" w:lineRule="auto"/>
              <w:rPr>
                <w:rFonts w:ascii="宋体" w:hAnsi="宋体" w:cs="宋体"/>
                <w:szCs w:val="21"/>
              </w:rPr>
            </w:pPr>
            <w:r>
              <w:rPr>
                <w:rFonts w:hint="eastAsia" w:ascii="宋体" w:hAnsi="宋体" w:cs="宋体"/>
                <w:szCs w:val="21"/>
              </w:rPr>
              <w:t>评审因素</w:t>
            </w:r>
          </w:p>
        </w:tc>
        <w:tc>
          <w:tcPr>
            <w:tcW w:w="5956" w:type="dxa"/>
            <w:vAlign w:val="center"/>
          </w:tcPr>
          <w:p>
            <w:pPr>
              <w:pStyle w:val="122"/>
              <w:spacing w:line="360" w:lineRule="auto"/>
              <w:rPr>
                <w:rFonts w:ascii="宋体" w:hAnsi="宋体" w:cs="宋体"/>
                <w:szCs w:val="21"/>
              </w:rPr>
            </w:pPr>
            <w:r>
              <w:rPr>
                <w:rFonts w:hint="eastAsia" w:ascii="宋体" w:hAnsi="宋体" w:cs="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pStyle w:val="122"/>
              <w:spacing w:line="360" w:lineRule="auto"/>
              <w:jc w:val="center"/>
              <w:rPr>
                <w:rFonts w:ascii="宋体" w:hAnsi="宋体" w:cs="宋体"/>
                <w:szCs w:val="21"/>
              </w:rPr>
            </w:pPr>
            <w:r>
              <w:rPr>
                <w:rFonts w:hint="eastAsia" w:ascii="宋体" w:hAnsi="宋体" w:cs="宋体"/>
                <w:szCs w:val="21"/>
              </w:rPr>
              <w:t>1</w:t>
            </w:r>
          </w:p>
        </w:tc>
        <w:tc>
          <w:tcPr>
            <w:tcW w:w="1232" w:type="dxa"/>
            <w:vAlign w:val="center"/>
          </w:tcPr>
          <w:p>
            <w:pPr>
              <w:pStyle w:val="122"/>
              <w:spacing w:line="360" w:lineRule="auto"/>
              <w:rPr>
                <w:rFonts w:ascii="宋体" w:hAnsi="宋体" w:cs="宋体"/>
                <w:szCs w:val="21"/>
              </w:rPr>
            </w:pPr>
            <w:r>
              <w:rPr>
                <w:rFonts w:hint="eastAsia" w:ascii="宋体" w:hAnsi="宋体" w:cs="宋体"/>
                <w:szCs w:val="21"/>
              </w:rPr>
              <w:t>评标方法</w:t>
            </w:r>
          </w:p>
        </w:tc>
        <w:tc>
          <w:tcPr>
            <w:tcW w:w="1111" w:type="dxa"/>
            <w:vAlign w:val="center"/>
          </w:tcPr>
          <w:p>
            <w:pPr>
              <w:pStyle w:val="122"/>
              <w:spacing w:line="360" w:lineRule="auto"/>
              <w:rPr>
                <w:rFonts w:ascii="宋体" w:hAnsi="宋体" w:cs="宋体"/>
                <w:szCs w:val="21"/>
              </w:rPr>
            </w:pPr>
            <w:r>
              <w:rPr>
                <w:rFonts w:hint="eastAsia" w:ascii="宋体" w:hAnsi="宋体" w:cs="宋体"/>
                <w:szCs w:val="21"/>
              </w:rPr>
              <w:t>成交候选人排序方法</w:t>
            </w:r>
          </w:p>
        </w:tc>
        <w:tc>
          <w:tcPr>
            <w:tcW w:w="5956" w:type="dxa"/>
            <w:vAlign w:val="center"/>
          </w:tcPr>
          <w:p>
            <w:pPr>
              <w:pStyle w:val="122"/>
              <w:spacing w:line="360" w:lineRule="auto"/>
              <w:rPr>
                <w:rFonts w:ascii="宋体" w:hAnsi="宋体" w:cs="宋体"/>
                <w:szCs w:val="21"/>
              </w:rPr>
            </w:pPr>
            <w:r>
              <w:rPr>
                <w:rFonts w:hint="eastAsia" w:ascii="宋体" w:hAnsi="宋体" w:cs="宋体"/>
                <w:szCs w:val="21"/>
              </w:rPr>
              <w:t>经评审的投标价相等时，评标委员会依次按照以下优先顺序推荐成交候选人：</w:t>
            </w:r>
          </w:p>
          <w:p>
            <w:pPr>
              <w:pStyle w:val="122"/>
              <w:spacing w:line="360" w:lineRule="auto"/>
              <w:rPr>
                <w:rFonts w:ascii="宋体" w:hAnsi="宋体" w:cs="宋体"/>
                <w:szCs w:val="21"/>
              </w:rPr>
            </w:pPr>
            <w:r>
              <w:rPr>
                <w:rFonts w:hint="eastAsia" w:ascii="宋体" w:hAnsi="宋体" w:cs="宋体"/>
                <w:szCs w:val="21"/>
              </w:rPr>
              <w:t>(1)响应文件提供的业绩数量多的</w:t>
            </w:r>
            <w:r>
              <w:rPr>
                <w:rFonts w:hint="eastAsia" w:ascii="宋体" w:hAnsi="宋体" w:cs="宋体"/>
                <w:szCs w:val="21"/>
                <w:lang w:eastAsia="zh-CN"/>
              </w:rPr>
              <w:t>报价人</w:t>
            </w:r>
            <w:r>
              <w:rPr>
                <w:rFonts w:hint="eastAsia" w:ascii="宋体" w:hAnsi="宋体" w:cs="宋体"/>
                <w:szCs w:val="21"/>
              </w:rPr>
              <w:t>优先；</w:t>
            </w:r>
          </w:p>
          <w:p>
            <w:pPr>
              <w:pStyle w:val="122"/>
              <w:spacing w:line="360" w:lineRule="auto"/>
              <w:rPr>
                <w:rFonts w:ascii="宋体" w:hAnsi="宋体" w:cs="宋体"/>
                <w:szCs w:val="21"/>
              </w:rPr>
            </w:pPr>
            <w:r>
              <w:rPr>
                <w:rFonts w:hint="eastAsia" w:ascii="宋体" w:hAnsi="宋体" w:cs="宋体"/>
                <w:szCs w:val="21"/>
              </w:rPr>
              <w:t>(2)响应文件提供的累计合同金额额大的</w:t>
            </w:r>
            <w:r>
              <w:rPr>
                <w:rFonts w:hint="eastAsia" w:ascii="宋体" w:hAnsi="宋体" w:cs="宋体"/>
                <w:szCs w:val="21"/>
                <w:lang w:eastAsia="zh-CN"/>
              </w:rPr>
              <w:t>报价人</w:t>
            </w:r>
            <w:r>
              <w:rPr>
                <w:rFonts w:hint="eastAsia" w:ascii="宋体" w:hAnsi="宋体" w:cs="宋体"/>
                <w:szCs w:val="21"/>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pStyle w:val="122"/>
              <w:spacing w:line="360" w:lineRule="auto"/>
              <w:jc w:val="center"/>
              <w:rPr>
                <w:rFonts w:ascii="宋体" w:hAnsi="宋体" w:cs="宋体"/>
                <w:szCs w:val="21"/>
              </w:rPr>
            </w:pPr>
            <w:r>
              <w:rPr>
                <w:rFonts w:hint="eastAsia" w:ascii="宋体" w:hAnsi="宋体" w:cs="宋体"/>
                <w:szCs w:val="21"/>
              </w:rPr>
              <w:t>2.1.1</w:t>
            </w:r>
          </w:p>
          <w:p>
            <w:pPr>
              <w:pStyle w:val="122"/>
              <w:spacing w:line="360" w:lineRule="auto"/>
              <w:jc w:val="center"/>
              <w:rPr>
                <w:rFonts w:ascii="宋体" w:hAnsi="宋体" w:cs="宋体"/>
                <w:szCs w:val="21"/>
              </w:rPr>
            </w:pPr>
            <w:r>
              <w:rPr>
                <w:rFonts w:hint="eastAsia" w:ascii="宋体" w:hAnsi="宋体" w:cs="宋体"/>
                <w:szCs w:val="21"/>
              </w:rPr>
              <w:t>2.1.3</w:t>
            </w:r>
          </w:p>
        </w:tc>
        <w:tc>
          <w:tcPr>
            <w:tcW w:w="1232" w:type="dxa"/>
            <w:vAlign w:val="center"/>
          </w:tcPr>
          <w:p>
            <w:pPr>
              <w:pStyle w:val="122"/>
              <w:spacing w:line="360" w:lineRule="auto"/>
              <w:rPr>
                <w:rFonts w:ascii="宋体" w:hAnsi="宋体" w:cs="宋体"/>
                <w:szCs w:val="21"/>
              </w:rPr>
            </w:pPr>
            <w:r>
              <w:rPr>
                <w:rFonts w:hint="eastAsia" w:ascii="宋体" w:hAnsi="宋体" w:cs="宋体"/>
                <w:szCs w:val="21"/>
              </w:rPr>
              <w:t>形式评审与响应性评审标准</w:t>
            </w:r>
          </w:p>
        </w:tc>
        <w:tc>
          <w:tcPr>
            <w:tcW w:w="7067" w:type="dxa"/>
            <w:gridSpan w:val="2"/>
            <w:vAlign w:val="center"/>
          </w:tcPr>
          <w:p>
            <w:pPr>
              <w:pStyle w:val="122"/>
              <w:spacing w:line="360" w:lineRule="auto"/>
              <w:rPr>
                <w:rFonts w:ascii="宋体" w:hAnsi="宋体" w:cs="宋体"/>
                <w:szCs w:val="21"/>
              </w:rPr>
            </w:pPr>
            <w:r>
              <w:rPr>
                <w:rFonts w:hint="eastAsia" w:ascii="宋体" w:hAnsi="宋体" w:cs="宋体"/>
                <w:szCs w:val="21"/>
              </w:rPr>
              <w:t>(1)营业执照、投标函中</w:t>
            </w:r>
            <w:r>
              <w:rPr>
                <w:rFonts w:hint="eastAsia" w:ascii="宋体" w:hAnsi="宋体" w:cs="宋体"/>
                <w:szCs w:val="21"/>
                <w:lang w:eastAsia="zh-CN"/>
              </w:rPr>
              <w:t>报价人</w:t>
            </w:r>
            <w:r>
              <w:rPr>
                <w:rFonts w:hint="eastAsia" w:ascii="宋体" w:hAnsi="宋体" w:cs="宋体"/>
                <w:szCs w:val="21"/>
              </w:rPr>
              <w:t>名称一致；</w:t>
            </w:r>
          </w:p>
          <w:p>
            <w:pPr>
              <w:pStyle w:val="122"/>
              <w:spacing w:line="360" w:lineRule="auto"/>
              <w:rPr>
                <w:rFonts w:ascii="宋体" w:hAnsi="宋体" w:cs="宋体"/>
                <w:szCs w:val="21"/>
              </w:rPr>
            </w:pPr>
            <w:r>
              <w:rPr>
                <w:rFonts w:hint="eastAsia" w:ascii="宋体" w:hAnsi="宋体" w:cs="宋体"/>
                <w:szCs w:val="21"/>
              </w:rPr>
              <w:t>(2)响应文件按照询价文件规定的格式、内容填写，字迹清晰可辨：</w:t>
            </w:r>
          </w:p>
          <w:p>
            <w:pPr>
              <w:pStyle w:val="122"/>
              <w:spacing w:line="360" w:lineRule="auto"/>
              <w:rPr>
                <w:rFonts w:ascii="宋体" w:hAnsi="宋体" w:cs="宋体"/>
                <w:szCs w:val="21"/>
              </w:rPr>
            </w:pPr>
            <w:r>
              <w:rPr>
                <w:rFonts w:hint="eastAsia" w:ascii="宋体" w:hAnsi="宋体" w:cs="宋体"/>
                <w:szCs w:val="21"/>
              </w:rPr>
              <w:t xml:space="preserve">a. </w:t>
            </w:r>
            <w:r>
              <w:rPr>
                <w:rFonts w:hint="eastAsia" w:ascii="宋体" w:hAnsi="宋体" w:cs="宋体"/>
                <w:szCs w:val="21"/>
                <w:lang w:val="en-US" w:eastAsia="zh-CN"/>
              </w:rPr>
              <w:t>报价</w:t>
            </w:r>
            <w:r>
              <w:rPr>
                <w:rFonts w:hint="eastAsia" w:ascii="宋体" w:hAnsi="宋体" w:cs="宋体"/>
                <w:szCs w:val="21"/>
              </w:rPr>
              <w:t>函按询价文件规定填报了</w:t>
            </w:r>
            <w:r>
              <w:rPr>
                <w:rFonts w:hint="eastAsia" w:ascii="宋体" w:hAnsi="宋体" w:cs="宋体"/>
                <w:szCs w:val="21"/>
                <w:lang w:val="en-US" w:eastAsia="zh-CN"/>
              </w:rPr>
              <w:t>工</w:t>
            </w:r>
            <w:r>
              <w:rPr>
                <w:rFonts w:hint="eastAsia" w:ascii="宋体" w:hAnsi="宋体" w:cs="宋体"/>
                <w:szCs w:val="21"/>
              </w:rPr>
              <w:t>期和质量标准，符合询价文件规定；</w:t>
            </w:r>
          </w:p>
          <w:p>
            <w:pPr>
              <w:pStyle w:val="122"/>
              <w:spacing w:line="360" w:lineRule="auto"/>
              <w:rPr>
                <w:rFonts w:ascii="宋体" w:hAnsi="宋体" w:cs="宋体"/>
                <w:szCs w:val="21"/>
              </w:rPr>
            </w:pPr>
            <w:r>
              <w:rPr>
                <w:rFonts w:hint="eastAsia" w:ascii="宋体" w:hAnsi="宋体" w:cs="宋体"/>
                <w:szCs w:val="21"/>
              </w:rPr>
              <w:t>b. 响应文件组成齐全完整，按照询价文件规定的格式、内容编制；</w:t>
            </w:r>
          </w:p>
          <w:p>
            <w:pPr>
              <w:pStyle w:val="122"/>
              <w:spacing w:line="360" w:lineRule="auto"/>
              <w:rPr>
                <w:rFonts w:ascii="宋体" w:hAnsi="宋体" w:cs="宋体"/>
                <w:szCs w:val="21"/>
              </w:rPr>
            </w:pPr>
            <w:r>
              <w:rPr>
                <w:rFonts w:hint="eastAsia" w:ascii="宋体" w:hAnsi="宋体" w:cs="宋体"/>
                <w:szCs w:val="21"/>
              </w:rPr>
              <w:t>c. 投标函按询价文件规定填报了询价人名称、项目名称、标段号、补遗书编号(如有)、总报价(包括大写金额和小写金额)；</w:t>
            </w:r>
          </w:p>
          <w:p>
            <w:pPr>
              <w:pStyle w:val="122"/>
              <w:spacing w:line="360" w:lineRule="auto"/>
              <w:rPr>
                <w:rFonts w:ascii="宋体" w:hAnsi="宋体" w:cs="宋体"/>
                <w:szCs w:val="21"/>
              </w:rPr>
            </w:pPr>
            <w:r>
              <w:rPr>
                <w:rFonts w:hint="eastAsia" w:ascii="宋体" w:hAnsi="宋体" w:cs="宋体"/>
                <w:szCs w:val="21"/>
              </w:rPr>
              <w:t>d. 已标价工程量清单及说明文字与询价文件规定一致，未进行实质性修改和删减；</w:t>
            </w:r>
          </w:p>
          <w:p>
            <w:pPr>
              <w:pStyle w:val="122"/>
              <w:spacing w:line="360" w:lineRule="auto"/>
              <w:rPr>
                <w:rFonts w:ascii="宋体" w:hAnsi="宋体" w:cs="宋体"/>
                <w:szCs w:val="21"/>
              </w:rPr>
            </w:pPr>
            <w:r>
              <w:rPr>
                <w:rFonts w:hint="eastAsia" w:ascii="宋体" w:hAnsi="宋体" w:cs="宋体"/>
                <w:szCs w:val="21"/>
              </w:rPr>
              <w:t>e. 工程量清单中的总报价与投标函大写金额报价一致；</w:t>
            </w:r>
          </w:p>
          <w:p>
            <w:pPr>
              <w:pStyle w:val="122"/>
              <w:spacing w:line="360" w:lineRule="auto"/>
              <w:rPr>
                <w:rFonts w:ascii="宋体" w:hAnsi="宋体" w:cs="宋体"/>
                <w:szCs w:val="21"/>
              </w:rPr>
            </w:pPr>
            <w:r>
              <w:rPr>
                <w:rFonts w:hint="eastAsia" w:ascii="宋体" w:hAnsi="宋体" w:cs="宋体"/>
                <w:szCs w:val="21"/>
              </w:rPr>
              <w:t>f. 竞标报价未超过询价文件设定的最高控制价上限(如有)；</w:t>
            </w:r>
          </w:p>
          <w:p>
            <w:pPr>
              <w:pStyle w:val="122"/>
              <w:spacing w:line="360" w:lineRule="auto"/>
              <w:rPr>
                <w:rFonts w:ascii="宋体" w:hAnsi="宋体" w:cs="宋体"/>
                <w:szCs w:val="21"/>
              </w:rPr>
            </w:pPr>
            <w:r>
              <w:rPr>
                <w:rFonts w:hint="eastAsia" w:ascii="宋体" w:hAnsi="宋体" w:cs="宋体"/>
                <w:szCs w:val="21"/>
              </w:rPr>
              <w:t>g. 竞标报价的大写金额能够确定具体数值；</w:t>
            </w:r>
          </w:p>
          <w:p>
            <w:pPr>
              <w:pStyle w:val="122"/>
              <w:spacing w:line="360" w:lineRule="auto"/>
              <w:rPr>
                <w:rFonts w:ascii="宋体" w:hAnsi="宋体" w:cs="宋体"/>
                <w:szCs w:val="21"/>
              </w:rPr>
            </w:pPr>
            <w:r>
              <w:rPr>
                <w:rFonts w:hint="eastAsia" w:ascii="宋体" w:hAnsi="宋体" w:cs="宋体"/>
                <w:szCs w:val="21"/>
              </w:rPr>
              <w:t>h. 同一</w:t>
            </w:r>
            <w:r>
              <w:rPr>
                <w:rFonts w:hint="eastAsia" w:ascii="宋体" w:hAnsi="宋体" w:cs="宋体"/>
                <w:szCs w:val="21"/>
                <w:lang w:eastAsia="zh-CN"/>
              </w:rPr>
              <w:t>报价人</w:t>
            </w:r>
            <w:r>
              <w:rPr>
                <w:rFonts w:hint="eastAsia" w:ascii="宋体" w:hAnsi="宋体" w:cs="宋体"/>
                <w:szCs w:val="21"/>
              </w:rPr>
              <w:t>未提交一个以上不同的竞标报价；</w:t>
            </w:r>
          </w:p>
          <w:p>
            <w:pPr>
              <w:pStyle w:val="122"/>
              <w:spacing w:line="360" w:lineRule="auto"/>
              <w:rPr>
                <w:rFonts w:ascii="宋体" w:hAnsi="宋体" w:cs="宋体"/>
                <w:szCs w:val="21"/>
              </w:rPr>
            </w:pPr>
            <w:r>
              <w:rPr>
                <w:rFonts w:hint="eastAsia" w:ascii="宋体" w:hAnsi="宋体" w:cs="宋体"/>
                <w:szCs w:val="21"/>
              </w:rPr>
              <w:t xml:space="preserve">i. </w:t>
            </w:r>
            <w:r>
              <w:rPr>
                <w:rFonts w:hint="eastAsia" w:ascii="宋体" w:hAnsi="宋体" w:cs="宋体"/>
                <w:szCs w:val="21"/>
                <w:lang w:eastAsia="zh-CN"/>
              </w:rPr>
              <w:t>报价人</w:t>
            </w:r>
            <w:r>
              <w:rPr>
                <w:rFonts w:hint="eastAsia" w:ascii="宋体" w:hAnsi="宋体" w:cs="宋体"/>
                <w:szCs w:val="21"/>
              </w:rPr>
              <w:t>未提交调价函；</w:t>
            </w:r>
          </w:p>
          <w:p>
            <w:pPr>
              <w:pStyle w:val="122"/>
              <w:spacing w:line="360" w:lineRule="auto"/>
              <w:rPr>
                <w:rFonts w:ascii="宋体" w:hAnsi="宋体" w:cs="宋体"/>
                <w:szCs w:val="21"/>
              </w:rPr>
            </w:pPr>
            <w:r>
              <w:rPr>
                <w:rFonts w:hint="eastAsia" w:ascii="宋体" w:hAnsi="宋体" w:cs="宋体"/>
                <w:szCs w:val="21"/>
              </w:rPr>
              <w:t xml:space="preserve">j. </w:t>
            </w:r>
            <w:r>
              <w:rPr>
                <w:rFonts w:hint="eastAsia" w:ascii="宋体" w:hAnsi="宋体" w:cs="宋体"/>
                <w:szCs w:val="21"/>
                <w:lang w:eastAsia="zh-CN"/>
              </w:rPr>
              <w:t>报价人</w:t>
            </w:r>
            <w:r>
              <w:rPr>
                <w:rFonts w:hint="eastAsia" w:ascii="宋体" w:hAnsi="宋体" w:cs="宋体"/>
                <w:szCs w:val="21"/>
              </w:rPr>
              <w:t>若填写工程量固化清单，填写完毕的工程量固化清单未对工程量固化清单电子文件中的数据、格式和运算定义进行修改。</w:t>
            </w:r>
          </w:p>
          <w:p>
            <w:pPr>
              <w:pStyle w:val="122"/>
              <w:spacing w:line="360" w:lineRule="auto"/>
              <w:rPr>
                <w:rFonts w:ascii="宋体" w:hAnsi="宋体" w:cs="宋体"/>
                <w:szCs w:val="21"/>
              </w:rPr>
            </w:pPr>
            <w:r>
              <w:rPr>
                <w:rFonts w:hint="eastAsia" w:ascii="宋体" w:hAnsi="宋体" w:cs="宋体"/>
                <w:szCs w:val="21"/>
              </w:rPr>
              <w:t>(3)</w:t>
            </w:r>
            <w:r>
              <w:rPr>
                <w:rFonts w:hint="eastAsia" w:ascii="宋体" w:hAnsi="宋体" w:cs="宋体"/>
                <w:szCs w:val="21"/>
                <w:lang w:eastAsia="zh-CN"/>
              </w:rPr>
              <w:t>报价人</w:t>
            </w:r>
            <w:r>
              <w:rPr>
                <w:rFonts w:hint="eastAsia" w:ascii="宋体" w:hAnsi="宋体" w:cs="宋体"/>
                <w:szCs w:val="21"/>
              </w:rPr>
              <w:t>按照询价文件规定的金额、形式、时效和内容提供了竞标保证金：</w:t>
            </w:r>
          </w:p>
          <w:p>
            <w:pPr>
              <w:pStyle w:val="122"/>
              <w:spacing w:line="360" w:lineRule="auto"/>
              <w:rPr>
                <w:rFonts w:ascii="宋体" w:hAnsi="宋体" w:cs="宋体"/>
                <w:szCs w:val="21"/>
              </w:rPr>
            </w:pPr>
            <w:r>
              <w:rPr>
                <w:rFonts w:hint="eastAsia" w:ascii="宋体" w:hAnsi="宋体" w:cs="宋体"/>
                <w:szCs w:val="21"/>
              </w:rPr>
              <w:t>a. 竞标保证金金额符合询价文件规定的金额，且竞标保证金有效期不少于竞标有效期；</w:t>
            </w:r>
          </w:p>
          <w:p>
            <w:pPr>
              <w:pStyle w:val="122"/>
              <w:spacing w:line="360" w:lineRule="auto"/>
              <w:rPr>
                <w:rFonts w:ascii="宋体" w:hAnsi="宋体" w:cs="宋体"/>
                <w:szCs w:val="21"/>
              </w:rPr>
            </w:pPr>
            <w:r>
              <w:rPr>
                <w:rFonts w:hint="eastAsia" w:ascii="宋体" w:hAnsi="宋体" w:cs="宋体"/>
                <w:szCs w:val="21"/>
              </w:rPr>
              <w:t>b. 若竞标保证金采用现金或者支票形式提交，</w:t>
            </w:r>
            <w:r>
              <w:rPr>
                <w:rFonts w:hint="eastAsia" w:ascii="宋体" w:hAnsi="宋体" w:cs="宋体"/>
                <w:szCs w:val="21"/>
                <w:lang w:eastAsia="zh-CN"/>
              </w:rPr>
              <w:t>报价人</w:t>
            </w:r>
            <w:r>
              <w:rPr>
                <w:rFonts w:hint="eastAsia" w:ascii="宋体" w:hAnsi="宋体" w:cs="宋体"/>
                <w:szCs w:val="21"/>
              </w:rPr>
              <w:t>应在递交响应文件截止时间之前，将竞标保证金由</w:t>
            </w:r>
            <w:r>
              <w:rPr>
                <w:rFonts w:hint="eastAsia" w:ascii="宋体" w:hAnsi="宋体" w:cs="宋体"/>
                <w:szCs w:val="21"/>
                <w:lang w:eastAsia="zh-CN"/>
              </w:rPr>
              <w:t>报价人</w:t>
            </w:r>
            <w:r>
              <w:rPr>
                <w:rFonts w:hint="eastAsia" w:ascii="宋体" w:hAnsi="宋体" w:cs="宋体"/>
                <w:szCs w:val="21"/>
              </w:rPr>
              <w:t>的基本账户转入并到达询价文件指定账户；</w:t>
            </w:r>
          </w:p>
          <w:p>
            <w:pPr>
              <w:pStyle w:val="122"/>
              <w:spacing w:line="360" w:lineRule="auto"/>
              <w:rPr>
                <w:rFonts w:ascii="宋体" w:hAnsi="宋体" w:cs="宋体"/>
                <w:szCs w:val="21"/>
              </w:rPr>
            </w:pPr>
            <w:r>
              <w:rPr>
                <w:rFonts w:hint="eastAsia" w:ascii="宋体" w:hAnsi="宋体" w:cs="宋体"/>
                <w:szCs w:val="21"/>
              </w:rPr>
              <w:t>(4)响应文件上法定代表人或其授权代理人的签字、</w:t>
            </w:r>
            <w:r>
              <w:rPr>
                <w:rFonts w:hint="eastAsia" w:ascii="宋体" w:hAnsi="宋体" w:cs="宋体"/>
                <w:szCs w:val="21"/>
                <w:lang w:eastAsia="zh-CN"/>
              </w:rPr>
              <w:t>报价人</w:t>
            </w:r>
            <w:r>
              <w:rPr>
                <w:rFonts w:hint="eastAsia" w:ascii="宋体" w:hAnsi="宋体" w:cs="宋体"/>
                <w:szCs w:val="21"/>
              </w:rPr>
              <w:t>的单位章盖章应在要求位置签字盖章，符合询价文件规定；</w:t>
            </w:r>
          </w:p>
          <w:p>
            <w:pPr>
              <w:pStyle w:val="122"/>
              <w:spacing w:line="360" w:lineRule="auto"/>
              <w:rPr>
                <w:rFonts w:ascii="宋体" w:hAnsi="宋体" w:cs="宋体"/>
                <w:szCs w:val="21"/>
              </w:rPr>
            </w:pPr>
            <w:r>
              <w:rPr>
                <w:rFonts w:hint="eastAsia" w:ascii="宋体" w:hAnsi="宋体" w:cs="宋体"/>
                <w:szCs w:val="21"/>
              </w:rPr>
              <w:t>(5)</w:t>
            </w:r>
            <w:r>
              <w:rPr>
                <w:rFonts w:hint="eastAsia" w:ascii="宋体" w:hAnsi="宋体" w:cs="宋体"/>
                <w:szCs w:val="21"/>
                <w:lang w:eastAsia="zh-CN"/>
              </w:rPr>
              <w:t>报价人</w:t>
            </w:r>
            <w:r>
              <w:rPr>
                <w:rFonts w:hint="eastAsia" w:ascii="宋体" w:hAnsi="宋体" w:cs="宋体"/>
                <w:szCs w:val="21"/>
              </w:rPr>
              <w:t>法定代表人授权代理人签署响应文件的</w:t>
            </w:r>
            <w:r>
              <w:rPr>
                <w:rFonts w:hint="eastAsia" w:ascii="宋体" w:hAnsi="宋体" w:cs="宋体"/>
                <w:spacing w:val="-104"/>
                <w:szCs w:val="21"/>
              </w:rPr>
              <w:t>，</w:t>
            </w:r>
            <w:r>
              <w:rPr>
                <w:rFonts w:hint="eastAsia" w:ascii="宋体" w:hAnsi="宋体" w:cs="宋体"/>
                <w:szCs w:val="21"/>
              </w:rPr>
              <w:t>需提交授权委托</w:t>
            </w:r>
            <w:r>
              <w:rPr>
                <w:rFonts w:hint="eastAsia" w:ascii="宋体" w:hAnsi="宋体" w:cs="宋体"/>
                <w:spacing w:val="-4"/>
                <w:szCs w:val="21"/>
              </w:rPr>
              <w:t>书，且授权人和被授权人均在授权委托书上签名，未使用印章、签名章</w:t>
            </w:r>
            <w:r>
              <w:rPr>
                <w:rFonts w:hint="eastAsia" w:ascii="宋体" w:hAnsi="宋体" w:cs="宋体"/>
                <w:szCs w:val="21"/>
              </w:rPr>
              <w:t>或其他电子制版签名代替。</w:t>
            </w:r>
          </w:p>
          <w:p>
            <w:pPr>
              <w:pStyle w:val="122"/>
              <w:spacing w:line="360" w:lineRule="auto"/>
              <w:rPr>
                <w:rFonts w:ascii="宋体" w:hAnsi="宋体" w:cs="宋体"/>
                <w:szCs w:val="21"/>
              </w:rPr>
            </w:pPr>
            <w:r>
              <w:rPr>
                <w:rFonts w:hint="eastAsia" w:ascii="宋体" w:hAnsi="宋体" w:cs="宋体"/>
                <w:szCs w:val="21"/>
              </w:rPr>
              <w:t>(6)</w:t>
            </w:r>
            <w:r>
              <w:rPr>
                <w:rFonts w:hint="eastAsia" w:ascii="宋体" w:hAnsi="宋体" w:cs="宋体"/>
                <w:szCs w:val="21"/>
                <w:lang w:eastAsia="zh-CN"/>
              </w:rPr>
              <w:t>报价人</w:t>
            </w:r>
            <w:r>
              <w:rPr>
                <w:rFonts w:hint="eastAsia" w:ascii="宋体" w:hAnsi="宋体" w:cs="宋体"/>
                <w:szCs w:val="21"/>
              </w:rPr>
              <w:t>法定代表人亲自签署响应文件的</w:t>
            </w:r>
            <w:r>
              <w:rPr>
                <w:rFonts w:hint="eastAsia" w:ascii="宋体" w:hAnsi="宋体" w:cs="宋体"/>
                <w:spacing w:val="-104"/>
                <w:szCs w:val="21"/>
              </w:rPr>
              <w:t>，</w:t>
            </w:r>
            <w:r>
              <w:rPr>
                <w:rFonts w:hint="eastAsia" w:ascii="宋体" w:hAnsi="宋体" w:cs="宋体"/>
                <w:szCs w:val="21"/>
              </w:rPr>
              <w:t>提供了法定代表人身份</w:t>
            </w:r>
            <w:r>
              <w:rPr>
                <w:rFonts w:hint="eastAsia" w:ascii="宋体" w:hAnsi="宋体" w:cs="宋体"/>
                <w:spacing w:val="-4"/>
                <w:szCs w:val="21"/>
              </w:rPr>
              <w:t>证明，且法定代表人在法定代表人身份证明上签名，未使用印章、签名</w:t>
            </w:r>
            <w:r>
              <w:rPr>
                <w:rFonts w:hint="eastAsia" w:ascii="宋体" w:hAnsi="宋体" w:cs="宋体"/>
                <w:szCs w:val="21"/>
              </w:rPr>
              <w:t>章或其他电子制版签名代替。</w:t>
            </w:r>
          </w:p>
          <w:p>
            <w:pPr>
              <w:pStyle w:val="122"/>
              <w:spacing w:line="360" w:lineRule="auto"/>
              <w:rPr>
                <w:rFonts w:ascii="宋体" w:hAnsi="宋体" w:cs="宋体"/>
                <w:szCs w:val="21"/>
              </w:rPr>
            </w:pPr>
            <w:r>
              <w:rPr>
                <w:rFonts w:hint="eastAsia" w:ascii="宋体" w:hAnsi="宋体" w:cs="宋体"/>
                <w:szCs w:val="21"/>
              </w:rPr>
              <w:t>(7)响应文件载明的施工工期/交货期、交货地点、质量标准、竞标有效期符合询价文件规定。</w:t>
            </w:r>
          </w:p>
          <w:p>
            <w:pPr>
              <w:pStyle w:val="122"/>
              <w:spacing w:line="360" w:lineRule="auto"/>
              <w:rPr>
                <w:rFonts w:ascii="宋体" w:hAnsi="宋体" w:cs="宋体"/>
                <w:szCs w:val="21"/>
              </w:rPr>
            </w:pPr>
            <w:r>
              <w:rPr>
                <w:rFonts w:hint="eastAsia" w:ascii="宋体" w:hAnsi="宋体" w:cs="宋体"/>
                <w:szCs w:val="21"/>
              </w:rPr>
              <w:t>(8)竞标产品及相关服务、技术支持资料符合询价文件规定。</w:t>
            </w:r>
          </w:p>
          <w:p>
            <w:pPr>
              <w:pStyle w:val="122"/>
              <w:spacing w:line="360" w:lineRule="auto"/>
              <w:rPr>
                <w:rFonts w:ascii="宋体" w:hAnsi="宋体" w:cs="宋体"/>
                <w:szCs w:val="21"/>
              </w:rPr>
            </w:pPr>
            <w:r>
              <w:rPr>
                <w:rFonts w:hint="eastAsia" w:ascii="宋体" w:hAnsi="宋体" w:cs="宋体"/>
                <w:szCs w:val="21"/>
              </w:rPr>
              <w:t>(9)响应文件未附有询价人不能接受的条件。</w:t>
            </w:r>
          </w:p>
          <w:p>
            <w:pPr>
              <w:pStyle w:val="122"/>
              <w:spacing w:line="360" w:lineRule="auto"/>
              <w:rPr>
                <w:rFonts w:ascii="宋体" w:hAnsi="宋体" w:cs="宋体"/>
                <w:szCs w:val="21"/>
              </w:rPr>
            </w:pPr>
            <w:r>
              <w:rPr>
                <w:rFonts w:hint="eastAsia" w:ascii="宋体" w:hAnsi="宋体" w:cs="宋体"/>
                <w:szCs w:val="21"/>
              </w:rPr>
              <w:t>(10)权利义务符合询价文件的实质性要求和条件：</w:t>
            </w:r>
          </w:p>
          <w:p>
            <w:pPr>
              <w:pStyle w:val="122"/>
              <w:spacing w:line="360" w:lineRule="auto"/>
              <w:rPr>
                <w:rFonts w:ascii="宋体" w:hAnsi="宋体" w:cs="宋体"/>
                <w:szCs w:val="21"/>
              </w:rPr>
            </w:pPr>
            <w:r>
              <w:rPr>
                <w:rFonts w:hint="eastAsia" w:ascii="宋体" w:hAnsi="宋体" w:cs="宋体"/>
                <w:szCs w:val="21"/>
              </w:rPr>
              <w:t>a.</w:t>
            </w:r>
            <w:r>
              <w:rPr>
                <w:rFonts w:hint="eastAsia" w:ascii="宋体" w:hAnsi="宋体" w:cs="宋体"/>
                <w:szCs w:val="21"/>
                <w:lang w:eastAsia="zh-CN"/>
              </w:rPr>
              <w:t>报价人</w:t>
            </w:r>
            <w:r>
              <w:rPr>
                <w:rFonts w:hint="eastAsia" w:ascii="宋体" w:hAnsi="宋体" w:cs="宋体"/>
                <w:szCs w:val="21"/>
              </w:rPr>
              <w:t>接受询价文件规定的风险划分原则，未提出新的风险划分办法；</w:t>
            </w:r>
          </w:p>
          <w:p>
            <w:pPr>
              <w:pStyle w:val="122"/>
              <w:spacing w:line="360" w:lineRule="auto"/>
              <w:rPr>
                <w:rFonts w:ascii="宋体" w:hAnsi="宋体" w:cs="宋体"/>
                <w:szCs w:val="21"/>
              </w:rPr>
            </w:pPr>
            <w:r>
              <w:rPr>
                <w:rFonts w:hint="eastAsia" w:ascii="宋体" w:hAnsi="宋体" w:cs="宋体"/>
                <w:szCs w:val="21"/>
              </w:rPr>
              <w:t>b.</w:t>
            </w:r>
            <w:r>
              <w:rPr>
                <w:rFonts w:hint="eastAsia" w:ascii="宋体" w:hAnsi="宋体" w:cs="宋体"/>
                <w:szCs w:val="21"/>
                <w:lang w:eastAsia="zh-CN"/>
              </w:rPr>
              <w:t>报价人</w:t>
            </w:r>
            <w:r>
              <w:rPr>
                <w:rFonts w:hint="eastAsia" w:ascii="宋体" w:hAnsi="宋体" w:cs="宋体"/>
                <w:szCs w:val="21"/>
              </w:rPr>
              <w:t>未增加询价人的责任范围，或减少</w:t>
            </w:r>
            <w:r>
              <w:rPr>
                <w:rFonts w:hint="eastAsia" w:ascii="宋体" w:hAnsi="宋体" w:cs="宋体"/>
                <w:szCs w:val="21"/>
                <w:lang w:eastAsia="zh-CN"/>
              </w:rPr>
              <w:t>报价人</w:t>
            </w:r>
            <w:r>
              <w:rPr>
                <w:rFonts w:hint="eastAsia" w:ascii="宋体" w:hAnsi="宋体" w:cs="宋体"/>
                <w:szCs w:val="21"/>
              </w:rPr>
              <w:t>义务；</w:t>
            </w:r>
          </w:p>
          <w:p>
            <w:pPr>
              <w:pStyle w:val="122"/>
              <w:spacing w:line="360" w:lineRule="auto"/>
              <w:rPr>
                <w:rFonts w:ascii="宋体" w:hAnsi="宋体" w:cs="宋体"/>
                <w:szCs w:val="21"/>
              </w:rPr>
            </w:pPr>
            <w:r>
              <w:rPr>
                <w:rFonts w:hint="eastAsia" w:ascii="宋体" w:hAnsi="宋体" w:cs="宋体"/>
                <w:szCs w:val="21"/>
              </w:rPr>
              <w:t>c.</w:t>
            </w:r>
            <w:r>
              <w:rPr>
                <w:rFonts w:hint="eastAsia" w:ascii="宋体" w:hAnsi="宋体" w:cs="宋体"/>
                <w:szCs w:val="21"/>
                <w:lang w:eastAsia="zh-CN"/>
              </w:rPr>
              <w:t>报价人</w:t>
            </w:r>
            <w:r>
              <w:rPr>
                <w:rFonts w:hint="eastAsia" w:ascii="宋体" w:hAnsi="宋体" w:cs="宋体"/>
                <w:szCs w:val="21"/>
              </w:rPr>
              <w:t>未提出不同的工程验收、计量、支付办法；</w:t>
            </w:r>
          </w:p>
          <w:p>
            <w:pPr>
              <w:pStyle w:val="122"/>
              <w:spacing w:line="360" w:lineRule="auto"/>
              <w:rPr>
                <w:rFonts w:ascii="宋体" w:hAnsi="宋体" w:cs="宋体"/>
                <w:szCs w:val="21"/>
              </w:rPr>
            </w:pPr>
            <w:r>
              <w:rPr>
                <w:rFonts w:hint="eastAsia" w:ascii="宋体" w:hAnsi="宋体" w:cs="宋体"/>
                <w:szCs w:val="21"/>
              </w:rPr>
              <w:t>d.</w:t>
            </w:r>
            <w:r>
              <w:rPr>
                <w:rFonts w:hint="eastAsia" w:ascii="宋体" w:hAnsi="宋体" w:cs="宋体"/>
                <w:szCs w:val="21"/>
                <w:lang w:eastAsia="zh-CN"/>
              </w:rPr>
              <w:t>报价人</w:t>
            </w:r>
            <w:r>
              <w:rPr>
                <w:rFonts w:hint="eastAsia" w:ascii="宋体" w:hAnsi="宋体" w:cs="宋体"/>
                <w:szCs w:val="21"/>
              </w:rPr>
              <w:t>对合同纠纷、事故处理办法未提出异议；</w:t>
            </w:r>
          </w:p>
          <w:p>
            <w:pPr>
              <w:pStyle w:val="122"/>
              <w:spacing w:line="360" w:lineRule="auto"/>
              <w:rPr>
                <w:rFonts w:ascii="宋体" w:hAnsi="宋体" w:cs="宋体"/>
                <w:szCs w:val="21"/>
              </w:rPr>
            </w:pPr>
            <w:r>
              <w:rPr>
                <w:rFonts w:hint="eastAsia" w:ascii="宋体" w:hAnsi="宋体" w:cs="宋体"/>
                <w:szCs w:val="21"/>
              </w:rPr>
              <w:t>e.</w:t>
            </w:r>
            <w:r>
              <w:rPr>
                <w:rFonts w:hint="eastAsia" w:ascii="宋体" w:hAnsi="宋体" w:cs="宋体"/>
                <w:szCs w:val="21"/>
                <w:lang w:eastAsia="zh-CN"/>
              </w:rPr>
              <w:t>报价人</w:t>
            </w:r>
            <w:r>
              <w:rPr>
                <w:rFonts w:hint="eastAsia" w:ascii="宋体" w:hAnsi="宋体" w:cs="宋体"/>
                <w:szCs w:val="21"/>
              </w:rPr>
              <w:t>在竞标活动中无欺诈行为；</w:t>
            </w:r>
          </w:p>
          <w:p>
            <w:pPr>
              <w:pStyle w:val="122"/>
              <w:spacing w:line="360" w:lineRule="auto"/>
              <w:rPr>
                <w:rFonts w:ascii="宋体" w:hAnsi="宋体" w:cs="宋体"/>
                <w:szCs w:val="21"/>
              </w:rPr>
            </w:pPr>
            <w:r>
              <w:rPr>
                <w:rFonts w:hint="eastAsia" w:ascii="宋体" w:hAnsi="宋体" w:cs="宋体"/>
                <w:szCs w:val="21"/>
              </w:rPr>
              <w:t>f.</w:t>
            </w:r>
            <w:r>
              <w:rPr>
                <w:rFonts w:hint="eastAsia" w:ascii="宋体" w:hAnsi="宋体" w:cs="宋体"/>
                <w:szCs w:val="21"/>
                <w:lang w:eastAsia="zh-CN"/>
              </w:rPr>
              <w:t>报价人</w:t>
            </w:r>
            <w:r>
              <w:rPr>
                <w:rFonts w:hint="eastAsia" w:ascii="宋体" w:hAnsi="宋体" w:cs="宋体"/>
                <w:szCs w:val="21"/>
              </w:rPr>
              <w:t>未对合同条款有重要保留。</w:t>
            </w:r>
          </w:p>
          <w:p>
            <w:pPr>
              <w:pStyle w:val="122"/>
              <w:spacing w:line="360" w:lineRule="auto"/>
              <w:rPr>
                <w:rFonts w:ascii="宋体" w:hAnsi="宋体" w:cs="宋体"/>
                <w:szCs w:val="21"/>
              </w:rPr>
            </w:pPr>
            <w:r>
              <w:rPr>
                <w:rFonts w:hint="eastAsia" w:ascii="宋体" w:hAnsi="宋体" w:cs="宋体"/>
                <w:szCs w:val="21"/>
              </w:rPr>
              <w:t>(11)响应文件正、副本份数和标记符合询价文件第二章“</w:t>
            </w:r>
            <w:r>
              <w:rPr>
                <w:rFonts w:hint="eastAsia" w:ascii="宋体" w:hAnsi="宋体" w:cs="宋体"/>
                <w:szCs w:val="21"/>
                <w:lang w:eastAsia="zh-CN"/>
              </w:rPr>
              <w:t>报价人</w:t>
            </w:r>
            <w:r>
              <w:rPr>
                <w:rFonts w:hint="eastAsia" w:ascii="宋体" w:hAnsi="宋体" w:cs="宋体"/>
                <w:szCs w:val="21"/>
              </w:rPr>
              <w:t>须知前附表”第3.7.4项规定。</w:t>
            </w:r>
          </w:p>
          <w:p>
            <w:pPr>
              <w:pStyle w:val="122"/>
              <w:spacing w:line="360" w:lineRule="auto"/>
              <w:rPr>
                <w:rFonts w:ascii="宋体" w:hAnsi="宋体" w:cs="宋体"/>
                <w:szCs w:val="21"/>
              </w:rPr>
            </w:pPr>
            <w:r>
              <w:rPr>
                <w:rFonts w:hint="eastAsia" w:ascii="宋体" w:hAnsi="宋体" w:cs="宋体"/>
                <w:szCs w:val="21"/>
              </w:rPr>
              <w:t>(12)响应文件未附有询价人不能接受的条件。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pStyle w:val="122"/>
              <w:spacing w:line="360" w:lineRule="auto"/>
              <w:jc w:val="center"/>
              <w:rPr>
                <w:rFonts w:ascii="宋体" w:hAnsi="宋体" w:cs="宋体"/>
                <w:szCs w:val="21"/>
              </w:rPr>
            </w:pPr>
            <w:r>
              <w:rPr>
                <w:rFonts w:hint="eastAsia" w:ascii="宋体" w:hAnsi="宋体" w:cs="宋体"/>
                <w:szCs w:val="21"/>
              </w:rPr>
              <w:t>2.1.2</w:t>
            </w:r>
          </w:p>
        </w:tc>
        <w:tc>
          <w:tcPr>
            <w:tcW w:w="1232" w:type="dxa"/>
            <w:vAlign w:val="center"/>
          </w:tcPr>
          <w:p>
            <w:pPr>
              <w:pStyle w:val="122"/>
              <w:spacing w:line="360" w:lineRule="auto"/>
              <w:rPr>
                <w:rFonts w:ascii="宋体" w:hAnsi="宋体" w:cs="宋体"/>
                <w:szCs w:val="21"/>
              </w:rPr>
            </w:pPr>
            <w:r>
              <w:rPr>
                <w:rFonts w:hint="eastAsia" w:ascii="宋体" w:hAnsi="宋体" w:cs="宋体"/>
                <w:szCs w:val="21"/>
              </w:rPr>
              <w:t>资格评审标准</w:t>
            </w:r>
          </w:p>
        </w:tc>
        <w:tc>
          <w:tcPr>
            <w:tcW w:w="7067" w:type="dxa"/>
            <w:gridSpan w:val="2"/>
            <w:vAlign w:val="center"/>
          </w:tcPr>
          <w:p>
            <w:pPr>
              <w:pStyle w:val="122"/>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CN"/>
              </w:rPr>
              <w:t>报价人</w:t>
            </w:r>
            <w:r>
              <w:rPr>
                <w:rFonts w:hint="eastAsia" w:ascii="宋体" w:hAnsi="宋体" w:cs="宋体"/>
                <w:szCs w:val="21"/>
              </w:rPr>
              <w:t>具备有效的营业执照、组织机构代码证和基本账户开户许可证；</w:t>
            </w:r>
          </w:p>
          <w:p>
            <w:pPr>
              <w:pStyle w:val="122"/>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eastAsia="zh-CN"/>
              </w:rPr>
              <w:t>报价人</w:t>
            </w:r>
            <w:r>
              <w:rPr>
                <w:rFonts w:hint="eastAsia" w:ascii="宋体" w:hAnsi="宋体" w:cs="宋体"/>
                <w:szCs w:val="21"/>
              </w:rPr>
              <w:t>的资质符合询价文件规定；</w:t>
            </w:r>
          </w:p>
          <w:p>
            <w:pPr>
              <w:pStyle w:val="122"/>
              <w:spacing w:line="360" w:lineRule="auto"/>
              <w:rPr>
                <w:rFonts w:ascii="宋体" w:hAnsi="宋体" w:cs="宋体"/>
                <w:szCs w:val="21"/>
              </w:rPr>
            </w:pPr>
            <w:r>
              <w:rPr>
                <w:rFonts w:hint="eastAsia" w:ascii="宋体" w:hAnsi="宋体" w:cs="宋体"/>
                <w:szCs w:val="21"/>
              </w:rPr>
              <w:t>(3)</w:t>
            </w:r>
            <w:r>
              <w:rPr>
                <w:rFonts w:hint="eastAsia" w:ascii="宋体" w:hAnsi="宋体" w:cs="宋体"/>
                <w:szCs w:val="21"/>
                <w:lang w:eastAsia="zh-CN"/>
              </w:rPr>
              <w:t>报价人</w:t>
            </w:r>
            <w:r>
              <w:rPr>
                <w:rFonts w:hint="eastAsia" w:ascii="宋体" w:hAnsi="宋体" w:cs="宋体"/>
                <w:szCs w:val="21"/>
              </w:rPr>
              <w:t>的业绩符合询价文件规定；</w:t>
            </w:r>
          </w:p>
          <w:p>
            <w:pPr>
              <w:pStyle w:val="122"/>
              <w:spacing w:line="360" w:lineRule="auto"/>
              <w:rPr>
                <w:rFonts w:ascii="宋体" w:hAnsi="宋体" w:cs="宋体"/>
                <w:szCs w:val="21"/>
              </w:rPr>
            </w:pPr>
            <w:r>
              <w:rPr>
                <w:rFonts w:hint="eastAsia" w:ascii="宋体" w:hAnsi="宋体" w:cs="宋体"/>
                <w:szCs w:val="21"/>
              </w:rPr>
              <w:t>(4)</w:t>
            </w:r>
            <w:r>
              <w:rPr>
                <w:rFonts w:hint="eastAsia" w:ascii="宋体" w:hAnsi="宋体" w:cs="宋体"/>
                <w:szCs w:val="21"/>
                <w:lang w:eastAsia="zh-CN"/>
              </w:rPr>
              <w:t>报价人</w:t>
            </w:r>
            <w:r>
              <w:rPr>
                <w:rFonts w:hint="eastAsia" w:ascii="宋体" w:hAnsi="宋体" w:cs="宋体"/>
                <w:szCs w:val="21"/>
              </w:rPr>
              <w:t>的其他要求符合询价文件规定；</w:t>
            </w:r>
          </w:p>
          <w:p>
            <w:pPr>
              <w:pStyle w:val="122"/>
              <w:spacing w:line="360" w:lineRule="auto"/>
              <w:rPr>
                <w:rFonts w:ascii="宋体" w:hAnsi="宋体" w:cs="宋体"/>
                <w:szCs w:val="21"/>
              </w:rPr>
            </w:pPr>
            <w:r>
              <w:rPr>
                <w:rFonts w:hint="eastAsia" w:ascii="宋体" w:hAnsi="宋体" w:cs="宋体"/>
                <w:szCs w:val="21"/>
              </w:rPr>
              <w:t>(5)</w:t>
            </w:r>
            <w:r>
              <w:rPr>
                <w:rFonts w:hint="eastAsia" w:ascii="宋体" w:hAnsi="宋体" w:cs="宋体"/>
                <w:szCs w:val="21"/>
                <w:lang w:eastAsia="zh-CN"/>
              </w:rPr>
              <w:t>报价人</w:t>
            </w:r>
            <w:r>
              <w:rPr>
                <w:rFonts w:hint="eastAsia" w:ascii="宋体" w:hAnsi="宋体" w:cs="宋体"/>
                <w:szCs w:val="21"/>
              </w:rPr>
              <w:t>不存在第二章“</w:t>
            </w:r>
            <w:r>
              <w:rPr>
                <w:rFonts w:hint="eastAsia" w:ascii="宋体" w:hAnsi="宋体" w:cs="宋体"/>
                <w:szCs w:val="21"/>
                <w:lang w:eastAsia="zh-CN"/>
              </w:rPr>
              <w:t>报价人</w:t>
            </w:r>
            <w:r>
              <w:rPr>
                <w:rFonts w:hint="eastAsia" w:ascii="宋体" w:hAnsi="宋体" w:cs="宋体"/>
                <w:szCs w:val="21"/>
              </w:rPr>
              <w:t>须知前附表”第1.4.3项规定的任何一种情形。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pStyle w:val="122"/>
              <w:spacing w:line="360" w:lineRule="auto"/>
              <w:jc w:val="center"/>
              <w:rPr>
                <w:rFonts w:ascii="宋体" w:hAnsi="宋体" w:cs="宋体"/>
                <w:szCs w:val="21"/>
              </w:rPr>
            </w:pPr>
            <w:r>
              <w:rPr>
                <w:rFonts w:hint="eastAsia" w:ascii="宋体" w:hAnsi="宋体" w:cs="宋体"/>
                <w:szCs w:val="21"/>
              </w:rPr>
              <w:t>2.2</w:t>
            </w:r>
          </w:p>
        </w:tc>
        <w:tc>
          <w:tcPr>
            <w:tcW w:w="1232" w:type="dxa"/>
            <w:vAlign w:val="center"/>
          </w:tcPr>
          <w:p>
            <w:pPr>
              <w:pStyle w:val="122"/>
              <w:spacing w:line="360" w:lineRule="auto"/>
              <w:rPr>
                <w:rFonts w:ascii="宋体" w:hAnsi="宋体" w:cs="宋体"/>
                <w:szCs w:val="21"/>
              </w:rPr>
            </w:pPr>
            <w:r>
              <w:rPr>
                <w:rFonts w:hint="eastAsia" w:ascii="宋体" w:hAnsi="宋体" w:cs="宋体"/>
                <w:szCs w:val="21"/>
              </w:rPr>
              <w:t>详细评审</w:t>
            </w:r>
          </w:p>
        </w:tc>
        <w:tc>
          <w:tcPr>
            <w:tcW w:w="7067" w:type="dxa"/>
            <w:gridSpan w:val="2"/>
            <w:vAlign w:val="center"/>
          </w:tcPr>
          <w:p>
            <w:pPr>
              <w:pStyle w:val="122"/>
              <w:spacing w:line="360" w:lineRule="auto"/>
              <w:rPr>
                <w:rFonts w:ascii="宋体" w:hAnsi="宋体" w:cs="宋体"/>
                <w:szCs w:val="21"/>
              </w:rPr>
            </w:pPr>
            <w:r>
              <w:rPr>
                <w:rFonts w:hint="eastAsia" w:ascii="宋体" w:hAnsi="宋体" w:cs="宋体"/>
                <w:szCs w:val="21"/>
              </w:rPr>
              <w:t>(1)本项目不设评分值。</w:t>
            </w:r>
          </w:p>
          <w:p>
            <w:pPr>
              <w:pStyle w:val="122"/>
              <w:spacing w:line="360" w:lineRule="auto"/>
              <w:rPr>
                <w:rFonts w:ascii="宋体" w:hAnsi="宋体" w:cs="宋体"/>
                <w:szCs w:val="21"/>
              </w:rPr>
            </w:pPr>
            <w:r>
              <w:rPr>
                <w:rFonts w:hint="eastAsia" w:ascii="宋体" w:hAnsi="宋体" w:cs="宋体"/>
                <w:szCs w:val="21"/>
              </w:rPr>
              <w:t>(2)除按第二章“</w:t>
            </w:r>
            <w:r>
              <w:rPr>
                <w:rFonts w:hint="eastAsia" w:ascii="宋体" w:hAnsi="宋体" w:cs="宋体"/>
                <w:szCs w:val="21"/>
                <w:lang w:eastAsia="zh-CN"/>
              </w:rPr>
              <w:t>报价人</w:t>
            </w:r>
            <w:r>
              <w:rPr>
                <w:rFonts w:hint="eastAsia" w:ascii="宋体" w:hAnsi="宋体" w:cs="宋体"/>
                <w:szCs w:val="21"/>
              </w:rPr>
              <w:t>须知前附表”规定开标现场被宣布不参加响应文件评审的报价之外，评审小组对通过响应文件评审的</w:t>
            </w:r>
            <w:r>
              <w:rPr>
                <w:rFonts w:hint="eastAsia" w:ascii="宋体" w:hAnsi="宋体" w:cs="宋体"/>
                <w:szCs w:val="21"/>
                <w:lang w:eastAsia="zh-CN"/>
              </w:rPr>
              <w:t>报价人</w:t>
            </w:r>
            <w:r>
              <w:rPr>
                <w:rFonts w:hint="eastAsia" w:ascii="宋体" w:hAnsi="宋体" w:cs="宋体"/>
                <w:szCs w:val="21"/>
              </w:rPr>
              <w:t>的报价按由低到高的顺序推荐成交候选人。</w:t>
            </w:r>
          </w:p>
        </w:tc>
      </w:tr>
    </w:tbl>
    <w:p>
      <w:pPr>
        <w:spacing w:line="360" w:lineRule="auto"/>
        <w:rPr>
          <w:rFonts w:ascii="宋体" w:hAnsi="宋体" w:cs="宋体"/>
          <w:szCs w:val="21"/>
        </w:rPr>
      </w:pPr>
    </w:p>
    <w:tbl>
      <w:tblPr>
        <w:tblStyle w:val="52"/>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219"/>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blHeader/>
          <w:jc w:val="center"/>
        </w:trPr>
        <w:tc>
          <w:tcPr>
            <w:tcW w:w="848" w:type="dxa"/>
            <w:vAlign w:val="center"/>
          </w:tcPr>
          <w:p>
            <w:pPr>
              <w:pStyle w:val="122"/>
              <w:spacing w:line="360" w:lineRule="auto"/>
              <w:rPr>
                <w:rFonts w:ascii="宋体" w:hAnsi="宋体" w:cs="宋体"/>
                <w:szCs w:val="21"/>
              </w:rPr>
            </w:pPr>
            <w:r>
              <w:rPr>
                <w:rFonts w:hint="eastAsia" w:ascii="宋体" w:hAnsi="宋体" w:cs="宋体"/>
                <w:szCs w:val="21"/>
              </w:rPr>
              <w:t>条款号</w:t>
            </w:r>
          </w:p>
        </w:tc>
        <w:tc>
          <w:tcPr>
            <w:tcW w:w="1219" w:type="dxa"/>
            <w:vAlign w:val="center"/>
          </w:tcPr>
          <w:p>
            <w:pPr>
              <w:pStyle w:val="122"/>
              <w:spacing w:line="360" w:lineRule="auto"/>
              <w:rPr>
                <w:rFonts w:ascii="宋体" w:hAnsi="宋体" w:cs="宋体"/>
                <w:szCs w:val="21"/>
              </w:rPr>
            </w:pPr>
            <w:r>
              <w:rPr>
                <w:rFonts w:hint="eastAsia" w:ascii="宋体" w:hAnsi="宋体" w:cs="宋体"/>
                <w:szCs w:val="21"/>
              </w:rPr>
              <w:t>条款内容</w:t>
            </w:r>
          </w:p>
        </w:tc>
        <w:tc>
          <w:tcPr>
            <w:tcW w:w="7050" w:type="dxa"/>
            <w:vAlign w:val="center"/>
          </w:tcPr>
          <w:p>
            <w:pPr>
              <w:pStyle w:val="122"/>
              <w:spacing w:line="360" w:lineRule="auto"/>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848" w:type="dxa"/>
            <w:vMerge w:val="restart"/>
            <w:vAlign w:val="center"/>
          </w:tcPr>
          <w:p>
            <w:pPr>
              <w:pStyle w:val="122"/>
              <w:spacing w:line="360" w:lineRule="auto"/>
              <w:jc w:val="center"/>
              <w:rPr>
                <w:rFonts w:ascii="宋体" w:hAnsi="宋体" w:cs="宋体"/>
                <w:szCs w:val="21"/>
              </w:rPr>
            </w:pPr>
            <w:r>
              <w:rPr>
                <w:rFonts w:hint="eastAsia" w:ascii="宋体" w:hAnsi="宋体" w:cs="宋体"/>
                <w:szCs w:val="21"/>
              </w:rPr>
              <w:t>3.1</w:t>
            </w:r>
          </w:p>
          <w:p>
            <w:pPr>
              <w:pStyle w:val="122"/>
              <w:spacing w:line="360" w:lineRule="auto"/>
              <w:jc w:val="center"/>
              <w:rPr>
                <w:rFonts w:ascii="宋体" w:hAnsi="宋体" w:cs="宋体"/>
                <w:szCs w:val="21"/>
              </w:rPr>
            </w:pPr>
            <w:r>
              <w:rPr>
                <w:rFonts w:hint="eastAsia" w:ascii="宋体" w:hAnsi="宋体" w:cs="宋体"/>
                <w:szCs w:val="21"/>
              </w:rPr>
              <w:t>3.2</w:t>
            </w:r>
          </w:p>
        </w:tc>
        <w:tc>
          <w:tcPr>
            <w:tcW w:w="1219" w:type="dxa"/>
            <w:vAlign w:val="center"/>
          </w:tcPr>
          <w:p>
            <w:pPr>
              <w:pStyle w:val="122"/>
              <w:spacing w:line="360" w:lineRule="auto"/>
              <w:rPr>
                <w:rFonts w:ascii="宋体" w:hAnsi="宋体" w:cs="宋体"/>
                <w:szCs w:val="21"/>
              </w:rPr>
            </w:pPr>
            <w:r>
              <w:rPr>
                <w:rFonts w:hint="eastAsia" w:ascii="宋体" w:hAnsi="宋体" w:cs="宋体"/>
                <w:szCs w:val="21"/>
              </w:rPr>
              <w:t>响应文件评审</w:t>
            </w:r>
          </w:p>
        </w:tc>
        <w:tc>
          <w:tcPr>
            <w:tcW w:w="7050" w:type="dxa"/>
            <w:vAlign w:val="center"/>
          </w:tcPr>
          <w:p>
            <w:pPr>
              <w:pStyle w:val="122"/>
              <w:spacing w:line="360" w:lineRule="auto"/>
              <w:rPr>
                <w:rFonts w:ascii="宋体" w:hAnsi="宋体" w:cs="宋体"/>
                <w:szCs w:val="21"/>
              </w:rPr>
            </w:pPr>
            <w:r>
              <w:rPr>
                <w:rFonts w:hint="eastAsia" w:ascii="宋体" w:hAnsi="宋体" w:cs="宋体"/>
                <w:szCs w:val="21"/>
              </w:rPr>
              <w:t>评审小组首先对响应文件进行形式评审、资格评审和响应性评审，对通过评审的响应文件按本章第2.2款规定进行评审。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jc w:val="center"/>
        </w:trPr>
        <w:tc>
          <w:tcPr>
            <w:tcW w:w="848" w:type="dxa"/>
            <w:vMerge w:val="continue"/>
            <w:vAlign w:val="center"/>
          </w:tcPr>
          <w:p>
            <w:pPr>
              <w:pStyle w:val="122"/>
              <w:spacing w:line="360" w:lineRule="auto"/>
              <w:rPr>
                <w:rFonts w:ascii="宋体" w:hAnsi="宋体" w:cs="宋体"/>
                <w:szCs w:val="21"/>
              </w:rPr>
            </w:pPr>
          </w:p>
        </w:tc>
        <w:tc>
          <w:tcPr>
            <w:tcW w:w="1219" w:type="dxa"/>
            <w:vAlign w:val="center"/>
          </w:tcPr>
          <w:p>
            <w:pPr>
              <w:pStyle w:val="122"/>
              <w:spacing w:line="360" w:lineRule="auto"/>
              <w:rPr>
                <w:rFonts w:ascii="宋体" w:hAnsi="宋体" w:cs="宋体"/>
                <w:szCs w:val="21"/>
              </w:rPr>
            </w:pPr>
            <w:r>
              <w:rPr>
                <w:rFonts w:hint="eastAsia" w:ascii="宋体" w:hAnsi="宋体" w:cs="宋体"/>
                <w:szCs w:val="21"/>
              </w:rPr>
              <w:t>有效竞标不足3个的情况</w:t>
            </w:r>
          </w:p>
        </w:tc>
        <w:tc>
          <w:tcPr>
            <w:tcW w:w="7050" w:type="dxa"/>
            <w:vAlign w:val="center"/>
          </w:tcPr>
          <w:p>
            <w:pPr>
              <w:pStyle w:val="122"/>
              <w:spacing w:line="360" w:lineRule="auto"/>
              <w:rPr>
                <w:rFonts w:ascii="宋体" w:hAnsi="宋体" w:cs="宋体"/>
                <w:szCs w:val="21"/>
              </w:rPr>
            </w:pPr>
            <w:r>
              <w:rPr>
                <w:rFonts w:hint="eastAsia" w:ascii="宋体" w:hAnsi="宋体" w:cs="宋体"/>
                <w:szCs w:val="21"/>
              </w:rPr>
              <w:t>如通过响应文件评审的有效竞标不足3个，评审小组应当对有效竞标是否仍具有竞争性进行评审。评审小组一致认为有效竞标仍具有竞争性的，应当继续按照规定的程序进行详细评审，并在评审报告中予以说明。评审小组对有效竞标是否仍具有竞争性无法达成一致意见的，应当否决全部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848" w:type="dxa"/>
            <w:vAlign w:val="center"/>
          </w:tcPr>
          <w:p>
            <w:pPr>
              <w:pStyle w:val="122"/>
              <w:spacing w:line="360" w:lineRule="auto"/>
              <w:jc w:val="center"/>
              <w:rPr>
                <w:rFonts w:ascii="宋体" w:hAnsi="宋体" w:cs="宋体"/>
                <w:szCs w:val="21"/>
              </w:rPr>
            </w:pPr>
            <w:r>
              <w:rPr>
                <w:rFonts w:hint="eastAsia" w:ascii="宋体" w:hAnsi="宋体" w:cs="宋体"/>
                <w:szCs w:val="21"/>
              </w:rPr>
              <w:t>3.3</w:t>
            </w:r>
          </w:p>
        </w:tc>
        <w:tc>
          <w:tcPr>
            <w:tcW w:w="1219" w:type="dxa"/>
            <w:vAlign w:val="center"/>
          </w:tcPr>
          <w:p>
            <w:pPr>
              <w:pStyle w:val="122"/>
              <w:spacing w:line="360" w:lineRule="auto"/>
              <w:rPr>
                <w:rFonts w:ascii="宋体" w:hAnsi="宋体" w:cs="宋体"/>
                <w:szCs w:val="21"/>
              </w:rPr>
            </w:pPr>
            <w:r>
              <w:rPr>
                <w:rFonts w:hint="eastAsia" w:ascii="宋体" w:hAnsi="宋体" w:cs="宋体"/>
                <w:szCs w:val="21"/>
              </w:rPr>
              <w:t>响应文件的澄清</w:t>
            </w:r>
          </w:p>
        </w:tc>
        <w:tc>
          <w:tcPr>
            <w:tcW w:w="7050" w:type="dxa"/>
            <w:vAlign w:val="center"/>
          </w:tcPr>
          <w:p>
            <w:pPr>
              <w:pStyle w:val="122"/>
              <w:spacing w:line="360" w:lineRule="auto"/>
              <w:rPr>
                <w:rFonts w:ascii="宋体" w:hAnsi="宋体" w:cs="宋体"/>
                <w:szCs w:val="21"/>
              </w:rPr>
            </w:pPr>
            <w:r>
              <w:rPr>
                <w:rFonts w:hint="eastAsia" w:ascii="宋体" w:hAnsi="宋体" w:cs="宋体"/>
                <w:szCs w:val="21"/>
              </w:rPr>
              <w:t>在评审过程中，评审小组可以书面形式要求</w:t>
            </w:r>
            <w:r>
              <w:rPr>
                <w:rFonts w:hint="eastAsia" w:ascii="宋体" w:hAnsi="宋体" w:cs="宋体"/>
                <w:szCs w:val="21"/>
                <w:lang w:eastAsia="zh-CN"/>
              </w:rPr>
              <w:t>报价人</w:t>
            </w:r>
            <w:r>
              <w:rPr>
                <w:rFonts w:hint="eastAsia" w:ascii="宋体" w:hAnsi="宋体" w:cs="宋体"/>
                <w:szCs w:val="21"/>
              </w:rPr>
              <w:t>对响应文件中含义不明确、对同类问题表述不一致或者有明显文字和计算错误的内容作必要的澄清、说明或补正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848" w:type="dxa"/>
            <w:vAlign w:val="center"/>
          </w:tcPr>
          <w:p>
            <w:pPr>
              <w:pStyle w:val="122"/>
              <w:spacing w:line="360" w:lineRule="auto"/>
              <w:jc w:val="center"/>
              <w:rPr>
                <w:rFonts w:ascii="宋体" w:hAnsi="宋体" w:cs="宋体"/>
                <w:szCs w:val="21"/>
              </w:rPr>
            </w:pPr>
            <w:r>
              <w:rPr>
                <w:rFonts w:hint="eastAsia" w:ascii="宋体" w:hAnsi="宋体" w:cs="宋体"/>
                <w:szCs w:val="21"/>
              </w:rPr>
              <w:t>3.4</w:t>
            </w:r>
          </w:p>
        </w:tc>
        <w:tc>
          <w:tcPr>
            <w:tcW w:w="1219" w:type="dxa"/>
            <w:vAlign w:val="center"/>
          </w:tcPr>
          <w:p>
            <w:pPr>
              <w:pStyle w:val="122"/>
              <w:spacing w:line="360" w:lineRule="auto"/>
              <w:rPr>
                <w:rFonts w:ascii="宋体" w:hAnsi="宋体" w:cs="宋体"/>
                <w:szCs w:val="21"/>
              </w:rPr>
            </w:pPr>
            <w:r>
              <w:rPr>
                <w:rFonts w:hint="eastAsia" w:ascii="宋体" w:hAnsi="宋体" w:cs="宋体"/>
                <w:szCs w:val="21"/>
              </w:rPr>
              <w:t>评审结果</w:t>
            </w:r>
          </w:p>
        </w:tc>
        <w:tc>
          <w:tcPr>
            <w:tcW w:w="7050" w:type="dxa"/>
            <w:vAlign w:val="center"/>
          </w:tcPr>
          <w:p>
            <w:pPr>
              <w:pStyle w:val="122"/>
              <w:spacing w:line="360" w:lineRule="auto"/>
              <w:rPr>
                <w:rFonts w:ascii="宋体" w:hAnsi="宋体" w:cs="宋体"/>
                <w:szCs w:val="21"/>
              </w:rPr>
            </w:pPr>
            <w:r>
              <w:rPr>
                <w:rFonts w:hint="eastAsia" w:ascii="宋体" w:hAnsi="宋体" w:cs="宋体"/>
                <w:szCs w:val="21"/>
              </w:rPr>
              <w:t>评审小组对通过评审的响应文件按经评审的价格由低到高的顺序推荐成交候选人。</w:t>
            </w:r>
          </w:p>
        </w:tc>
      </w:tr>
    </w:tbl>
    <w:p>
      <w:pPr>
        <w:widowControl/>
        <w:jc w:val="left"/>
        <w:rPr>
          <w:rFonts w:ascii="宋体" w:hAnsi="宋体" w:eastAsia="黑体"/>
          <w:sz w:val="28"/>
          <w:szCs w:val="28"/>
        </w:rPr>
      </w:pPr>
      <w:r>
        <w:br w:type="page"/>
      </w:r>
    </w:p>
    <w:p>
      <w:pPr>
        <w:spacing w:line="360" w:lineRule="auto"/>
        <w:rPr>
          <w:rFonts w:ascii="宋体" w:hAnsi="宋体" w:cs="宋体"/>
          <w:b/>
          <w:szCs w:val="21"/>
        </w:rPr>
      </w:pPr>
      <w:r>
        <w:rPr>
          <w:rFonts w:hint="eastAsia" w:ascii="宋体" w:hAnsi="宋体" w:cs="宋体"/>
          <w:b/>
          <w:szCs w:val="21"/>
        </w:rPr>
        <w:t>1. 评审方法</w:t>
      </w:r>
    </w:p>
    <w:p>
      <w:pPr>
        <w:spacing w:line="360" w:lineRule="auto"/>
        <w:ind w:firstLine="420" w:firstLineChars="200"/>
        <w:rPr>
          <w:rFonts w:ascii="宋体" w:hAnsi="宋体" w:cs="宋体"/>
          <w:szCs w:val="21"/>
        </w:rPr>
      </w:pPr>
      <w:r>
        <w:rPr>
          <w:rFonts w:hint="eastAsia" w:ascii="宋体" w:hAnsi="宋体" w:cs="宋体"/>
          <w:szCs w:val="21"/>
        </w:rPr>
        <w:t>1.1本次评标采用经评审的最低投标价法。评审小组对满足询价文件实质性要求的响应文件，根据本章第 2.2 款规定的评标价格调整方法进行必要的价格调整，并按照经评审的价格由低到高的顺序推荐成交候选人，或根据询价人授权直接确定成交人，但报价低于其成本的除外。经评审的价格相等时，按照评标办法前附表中的规定确定成交候选人顺序。</w:t>
      </w:r>
    </w:p>
    <w:p>
      <w:pPr>
        <w:spacing w:line="360" w:lineRule="auto"/>
        <w:rPr>
          <w:rFonts w:ascii="宋体" w:hAnsi="宋体" w:cs="宋体"/>
          <w:b/>
          <w:szCs w:val="21"/>
        </w:rPr>
      </w:pPr>
      <w:bookmarkStart w:id="141" w:name="_Toc528058013"/>
      <w:r>
        <w:rPr>
          <w:rFonts w:hint="eastAsia" w:ascii="宋体" w:hAnsi="宋体" w:cs="宋体"/>
          <w:b/>
          <w:szCs w:val="21"/>
        </w:rPr>
        <w:t>2. 评审标准</w:t>
      </w:r>
      <w:bookmarkEnd w:id="141"/>
    </w:p>
    <w:p>
      <w:pPr>
        <w:spacing w:line="360" w:lineRule="auto"/>
        <w:ind w:firstLine="420" w:firstLineChars="200"/>
        <w:rPr>
          <w:rFonts w:ascii="宋体" w:hAnsi="宋体" w:cs="宋体"/>
          <w:szCs w:val="21"/>
        </w:rPr>
      </w:pPr>
      <w:r>
        <w:rPr>
          <w:rFonts w:hint="eastAsia" w:ascii="宋体" w:hAnsi="宋体" w:cs="宋体"/>
          <w:szCs w:val="21"/>
        </w:rPr>
        <w:t>2.1 初步评审标准</w:t>
      </w:r>
    </w:p>
    <w:p>
      <w:pPr>
        <w:spacing w:line="360" w:lineRule="auto"/>
        <w:ind w:firstLine="420" w:firstLineChars="200"/>
        <w:rPr>
          <w:rFonts w:ascii="宋体" w:hAnsi="宋体" w:cs="宋体"/>
          <w:szCs w:val="21"/>
        </w:rPr>
      </w:pPr>
      <w:r>
        <w:rPr>
          <w:rFonts w:hint="eastAsia" w:ascii="宋体" w:hAnsi="宋体" w:cs="宋体"/>
          <w:szCs w:val="21"/>
        </w:rPr>
        <w:t>2.1.1 形式评审标准：见评标办法前附表。</w:t>
      </w:r>
    </w:p>
    <w:p>
      <w:pPr>
        <w:spacing w:line="360" w:lineRule="auto"/>
        <w:ind w:firstLine="420" w:firstLineChars="200"/>
        <w:rPr>
          <w:rFonts w:ascii="宋体" w:hAnsi="宋体" w:cs="宋体"/>
          <w:szCs w:val="21"/>
        </w:rPr>
      </w:pPr>
      <w:r>
        <w:rPr>
          <w:rFonts w:hint="eastAsia" w:ascii="宋体" w:hAnsi="宋体" w:cs="宋体"/>
          <w:szCs w:val="21"/>
        </w:rPr>
        <w:t>2.1.2 资格评审标准：见评标办法前附表。</w:t>
      </w:r>
    </w:p>
    <w:p>
      <w:pPr>
        <w:spacing w:line="360" w:lineRule="auto"/>
        <w:ind w:firstLine="420" w:firstLineChars="200"/>
        <w:rPr>
          <w:rFonts w:ascii="宋体" w:hAnsi="宋体" w:cs="宋体"/>
          <w:szCs w:val="21"/>
        </w:rPr>
      </w:pPr>
      <w:r>
        <w:rPr>
          <w:rFonts w:hint="eastAsia" w:ascii="宋体" w:hAnsi="宋体" w:cs="宋体"/>
          <w:szCs w:val="21"/>
        </w:rPr>
        <w:t>2.1.3 响应性评审标准：见评标办法前附表。</w:t>
      </w:r>
    </w:p>
    <w:p>
      <w:pPr>
        <w:spacing w:line="360" w:lineRule="auto"/>
        <w:ind w:firstLine="420" w:firstLineChars="200"/>
        <w:rPr>
          <w:rFonts w:ascii="宋体" w:hAnsi="宋体" w:cs="宋体"/>
          <w:szCs w:val="21"/>
        </w:rPr>
      </w:pPr>
      <w:r>
        <w:rPr>
          <w:rFonts w:hint="eastAsia" w:ascii="宋体" w:hAnsi="宋体" w:cs="宋体"/>
          <w:szCs w:val="21"/>
        </w:rPr>
        <w:t>2.2详细评审标准</w:t>
      </w:r>
    </w:p>
    <w:p>
      <w:pPr>
        <w:spacing w:line="360" w:lineRule="auto"/>
        <w:rPr>
          <w:szCs w:val="21"/>
        </w:rPr>
      </w:pPr>
      <w:r>
        <w:rPr>
          <w:rFonts w:hint="eastAsia"/>
          <w:szCs w:val="21"/>
        </w:rPr>
        <w:t>详细评审标准：见评审办法前附表。</w:t>
      </w:r>
    </w:p>
    <w:p>
      <w:pPr>
        <w:spacing w:line="360" w:lineRule="auto"/>
        <w:rPr>
          <w:rFonts w:ascii="宋体" w:hAnsi="宋体" w:cs="宋体"/>
          <w:b/>
          <w:szCs w:val="21"/>
        </w:rPr>
      </w:pPr>
      <w:bookmarkStart w:id="142" w:name="_Toc528058014"/>
      <w:r>
        <w:rPr>
          <w:rFonts w:hint="eastAsia" w:ascii="宋体" w:hAnsi="宋体" w:cs="宋体"/>
          <w:b/>
          <w:szCs w:val="21"/>
        </w:rPr>
        <w:t>3. 评标程序</w:t>
      </w:r>
      <w:bookmarkEnd w:id="142"/>
    </w:p>
    <w:p>
      <w:pPr>
        <w:spacing w:line="360" w:lineRule="auto"/>
        <w:ind w:firstLine="420" w:firstLineChars="200"/>
        <w:rPr>
          <w:rFonts w:ascii="宋体" w:hAnsi="宋体" w:cs="宋体"/>
          <w:szCs w:val="21"/>
        </w:rPr>
      </w:pPr>
      <w:r>
        <w:rPr>
          <w:rFonts w:hint="eastAsia" w:ascii="宋体" w:hAnsi="宋体" w:cs="宋体"/>
          <w:szCs w:val="21"/>
        </w:rPr>
        <w:t>3.1 初步评审</w:t>
      </w:r>
    </w:p>
    <w:p>
      <w:pPr>
        <w:spacing w:line="360" w:lineRule="auto"/>
        <w:ind w:firstLine="420" w:firstLineChars="200"/>
        <w:rPr>
          <w:rFonts w:ascii="宋体" w:hAnsi="宋体" w:cs="宋体"/>
          <w:szCs w:val="21"/>
        </w:rPr>
      </w:pPr>
      <w:r>
        <w:rPr>
          <w:rFonts w:hint="eastAsia" w:ascii="宋体" w:hAnsi="宋体" w:cs="宋体"/>
          <w:szCs w:val="21"/>
        </w:rPr>
        <w:t>3.1.1 评审小组可以要求</w:t>
      </w:r>
      <w:r>
        <w:rPr>
          <w:rFonts w:hint="eastAsia" w:ascii="宋体" w:hAnsi="宋体" w:cs="宋体"/>
          <w:szCs w:val="21"/>
          <w:lang w:eastAsia="zh-CN"/>
        </w:rPr>
        <w:t>报价人</w:t>
      </w:r>
      <w:r>
        <w:rPr>
          <w:rFonts w:hint="eastAsia" w:ascii="宋体" w:hAnsi="宋体" w:cs="宋体"/>
          <w:szCs w:val="21"/>
        </w:rPr>
        <w:t>提交第二章“</w:t>
      </w:r>
      <w:r>
        <w:rPr>
          <w:rFonts w:hint="eastAsia" w:ascii="宋体" w:hAnsi="宋体" w:cs="宋体"/>
          <w:szCs w:val="21"/>
          <w:lang w:eastAsia="zh-CN"/>
        </w:rPr>
        <w:t>报价人</w:t>
      </w:r>
      <w:r>
        <w:rPr>
          <w:rFonts w:hint="eastAsia" w:ascii="宋体" w:hAnsi="宋体" w:cs="宋体"/>
          <w:szCs w:val="21"/>
        </w:rPr>
        <w:t>须知”规定的有关证明和证件的原件，以便核验。评审小组依据本章第 2.1 款规定的标准对响应文件进行初步评审。有一项不符合评审标准的，评审小组应当否决其竞标。</w:t>
      </w:r>
    </w:p>
    <w:p>
      <w:pPr>
        <w:spacing w:line="360" w:lineRule="auto"/>
        <w:ind w:firstLine="420" w:firstLineChars="200"/>
        <w:rPr>
          <w:rFonts w:ascii="宋体" w:hAnsi="宋体" w:cs="宋体"/>
          <w:szCs w:val="21"/>
        </w:rPr>
      </w:pPr>
      <w:r>
        <w:rPr>
          <w:rFonts w:hint="eastAsia" w:ascii="宋体" w:hAnsi="宋体" w:cs="宋体"/>
          <w:szCs w:val="21"/>
        </w:rPr>
        <w:t xml:space="preserve">3.1.2 </w:t>
      </w:r>
      <w:r>
        <w:rPr>
          <w:rFonts w:hint="eastAsia" w:ascii="宋体" w:hAnsi="宋体" w:cs="宋体"/>
          <w:szCs w:val="21"/>
          <w:lang w:eastAsia="zh-CN"/>
        </w:rPr>
        <w:t>报价人</w:t>
      </w:r>
      <w:r>
        <w:rPr>
          <w:rFonts w:hint="eastAsia" w:ascii="宋体" w:hAnsi="宋体" w:cs="宋体"/>
          <w:szCs w:val="21"/>
        </w:rPr>
        <w:t>有以下情形之一的，评审小组应当否决其竞标：</w:t>
      </w:r>
    </w:p>
    <w:p>
      <w:pPr>
        <w:spacing w:line="360" w:lineRule="auto"/>
        <w:ind w:firstLine="420" w:firstLineChars="200"/>
        <w:rPr>
          <w:rFonts w:ascii="宋体" w:hAnsi="宋体" w:cs="宋体"/>
          <w:szCs w:val="21"/>
        </w:rPr>
      </w:pPr>
      <w:r>
        <w:rPr>
          <w:rFonts w:hint="eastAsia" w:ascii="宋体" w:hAnsi="宋体" w:cs="宋体"/>
          <w:szCs w:val="21"/>
        </w:rPr>
        <w:t>(1)响应文件没有对询价文件的实质性要求和条件作出响应.或者对询价文件的偏差超出询价文件规定的偏差范围或最高项数；</w:t>
      </w:r>
    </w:p>
    <w:p>
      <w:pPr>
        <w:spacing w:line="360" w:lineRule="auto"/>
        <w:ind w:firstLine="420" w:firstLineChars="200"/>
        <w:rPr>
          <w:rFonts w:ascii="宋体" w:hAnsi="宋体" w:cs="宋体"/>
          <w:szCs w:val="21"/>
        </w:rPr>
      </w:pPr>
      <w:r>
        <w:rPr>
          <w:rFonts w:hint="eastAsia" w:ascii="宋体" w:hAnsi="宋体" w:cs="宋体"/>
          <w:szCs w:val="21"/>
        </w:rPr>
        <w:t>(2)有串通投标、弄虚作假、行贿等违法行为。</w:t>
      </w:r>
    </w:p>
    <w:p>
      <w:pPr>
        <w:spacing w:line="360" w:lineRule="auto"/>
        <w:ind w:firstLine="420" w:firstLineChars="200"/>
        <w:rPr>
          <w:rFonts w:ascii="宋体" w:hAnsi="宋体" w:cs="宋体"/>
          <w:szCs w:val="21"/>
        </w:rPr>
      </w:pPr>
      <w:r>
        <w:rPr>
          <w:rFonts w:hint="eastAsia" w:ascii="宋体" w:hAnsi="宋体" w:cs="宋体"/>
          <w:szCs w:val="21"/>
        </w:rPr>
        <w:t>3.1.3 竞标报价有算术错误及其他错误的，评审小组按以下原则要求</w:t>
      </w:r>
      <w:r>
        <w:rPr>
          <w:rFonts w:hint="eastAsia" w:ascii="宋体" w:hAnsi="宋体" w:cs="宋体"/>
          <w:szCs w:val="21"/>
          <w:lang w:eastAsia="zh-CN"/>
        </w:rPr>
        <w:t>报价人</w:t>
      </w:r>
      <w:r>
        <w:rPr>
          <w:rFonts w:hint="eastAsia" w:ascii="宋体" w:hAnsi="宋体" w:cs="宋体"/>
          <w:szCs w:val="21"/>
        </w:rPr>
        <w:t>对竞标报价进行修正，并要求</w:t>
      </w:r>
      <w:r>
        <w:rPr>
          <w:rFonts w:hint="eastAsia" w:ascii="宋体" w:hAnsi="宋体" w:cs="宋体"/>
          <w:szCs w:val="21"/>
          <w:lang w:eastAsia="zh-CN"/>
        </w:rPr>
        <w:t>报价人</w:t>
      </w:r>
      <w:r>
        <w:rPr>
          <w:rFonts w:hint="eastAsia" w:ascii="宋体" w:hAnsi="宋体" w:cs="宋体"/>
          <w:szCs w:val="21"/>
        </w:rPr>
        <w:t>书面澄清确认。</w:t>
      </w:r>
      <w:r>
        <w:rPr>
          <w:rFonts w:hint="eastAsia" w:ascii="宋体" w:hAnsi="宋体" w:cs="宋体"/>
          <w:szCs w:val="21"/>
          <w:lang w:eastAsia="zh-CN"/>
        </w:rPr>
        <w:t>报价人</w:t>
      </w:r>
      <w:r>
        <w:rPr>
          <w:rFonts w:hint="eastAsia" w:ascii="宋体" w:hAnsi="宋体" w:cs="宋体"/>
          <w:szCs w:val="21"/>
        </w:rPr>
        <w:t>拒不澄清确认的，评审小组应当否决其竞标：</w:t>
      </w:r>
    </w:p>
    <w:p>
      <w:pPr>
        <w:spacing w:line="360" w:lineRule="auto"/>
        <w:ind w:firstLine="420" w:firstLineChars="200"/>
        <w:rPr>
          <w:rFonts w:ascii="宋体" w:hAnsi="宋体" w:cs="宋体"/>
          <w:szCs w:val="21"/>
        </w:rPr>
      </w:pPr>
      <w:r>
        <w:rPr>
          <w:rFonts w:hint="eastAsia" w:ascii="宋体" w:hAnsi="宋体" w:cs="宋体"/>
          <w:szCs w:val="21"/>
        </w:rPr>
        <w:t>(1)响应文件中的大写金额与小写金额不一致的，以大写金额为准；</w:t>
      </w:r>
    </w:p>
    <w:p>
      <w:pPr>
        <w:spacing w:line="360" w:lineRule="auto"/>
        <w:ind w:firstLine="420" w:firstLineChars="200"/>
        <w:rPr>
          <w:rFonts w:ascii="宋体" w:hAnsi="宋体" w:cs="宋体"/>
          <w:szCs w:val="21"/>
        </w:rPr>
      </w:pPr>
      <w:r>
        <w:rPr>
          <w:rFonts w:hint="eastAsia" w:ascii="宋体" w:hAnsi="宋体" w:cs="宋体"/>
          <w:szCs w:val="21"/>
        </w:rPr>
        <w:t>(2)总价金额与单价金额不一致的，以单价金额为准，但单价金额小数点有明显错误的除外；</w:t>
      </w:r>
    </w:p>
    <w:p>
      <w:pPr>
        <w:spacing w:line="360" w:lineRule="auto"/>
        <w:ind w:firstLine="420" w:firstLineChars="200"/>
        <w:rPr>
          <w:rFonts w:ascii="宋体" w:hAnsi="宋体" w:cs="宋体"/>
          <w:szCs w:val="21"/>
        </w:rPr>
      </w:pPr>
      <w:r>
        <w:rPr>
          <w:rFonts w:hint="eastAsia" w:ascii="宋体" w:hAnsi="宋体" w:cs="宋体"/>
          <w:szCs w:val="21"/>
        </w:rPr>
        <w:t>(3)竞标报价为各分项报价金额之和，竞标报价与分项报价的合价不一致的，应以各分项合价累计数为准，修正竞标报价；</w:t>
      </w:r>
    </w:p>
    <w:p>
      <w:pPr>
        <w:spacing w:line="360" w:lineRule="auto"/>
        <w:ind w:firstLine="420" w:firstLineChars="200"/>
        <w:rPr>
          <w:szCs w:val="21"/>
        </w:rPr>
      </w:pPr>
      <w:r>
        <w:rPr>
          <w:rFonts w:hint="eastAsia" w:ascii="宋体" w:hAnsi="宋体" w:cs="宋体"/>
          <w:szCs w:val="21"/>
        </w:rPr>
        <w:t>(4)如果分项报价中存在缺漏项，则视为缺漏项价格已包含在其他分项报价之中。</w:t>
      </w:r>
    </w:p>
    <w:p>
      <w:pPr>
        <w:spacing w:line="360" w:lineRule="auto"/>
        <w:rPr>
          <w:rFonts w:ascii="宋体" w:hAnsi="宋体" w:cs="宋体"/>
          <w:szCs w:val="21"/>
        </w:rPr>
      </w:pPr>
      <w:r>
        <w:rPr>
          <w:rFonts w:hint="eastAsia" w:ascii="宋体" w:hAnsi="宋体" w:cs="宋体"/>
          <w:szCs w:val="21"/>
        </w:rPr>
        <w:t>3.2 详细评审</w:t>
      </w:r>
    </w:p>
    <w:p>
      <w:pPr>
        <w:spacing w:line="360" w:lineRule="auto"/>
        <w:ind w:firstLine="420" w:firstLineChars="200"/>
        <w:rPr>
          <w:rFonts w:ascii="宋体" w:hAnsi="宋体" w:cs="宋体"/>
          <w:szCs w:val="21"/>
        </w:rPr>
      </w:pPr>
      <w:r>
        <w:rPr>
          <w:rFonts w:hint="eastAsia" w:ascii="宋体" w:hAnsi="宋体" w:cs="宋体"/>
          <w:szCs w:val="21"/>
        </w:rPr>
        <w:t>3.2.1 评审小组按本章第 2.2 款规定的评标价格调整方法进行必要的价格调整，并编制“标价比较表”。</w:t>
      </w:r>
    </w:p>
    <w:p>
      <w:pPr>
        <w:spacing w:line="360" w:lineRule="auto"/>
        <w:ind w:firstLine="420" w:firstLineChars="200"/>
        <w:rPr>
          <w:szCs w:val="21"/>
        </w:rPr>
      </w:pPr>
      <w:r>
        <w:rPr>
          <w:rFonts w:hint="eastAsia" w:ascii="宋体" w:hAnsi="宋体" w:cs="宋体"/>
          <w:szCs w:val="21"/>
        </w:rPr>
        <w:t>3.2.2 评审小组发现</w:t>
      </w:r>
      <w:r>
        <w:rPr>
          <w:rFonts w:hint="eastAsia" w:ascii="宋体" w:hAnsi="宋体" w:cs="宋体"/>
          <w:szCs w:val="21"/>
          <w:lang w:eastAsia="zh-CN"/>
        </w:rPr>
        <w:t>报价人</w:t>
      </w:r>
      <w:r>
        <w:rPr>
          <w:rFonts w:hint="eastAsia" w:ascii="宋体" w:hAnsi="宋体" w:cs="宋体"/>
          <w:szCs w:val="21"/>
        </w:rPr>
        <w:t>的报价明显低于其他竞标报价，使得其竞标报价可能低于其成本的，应当要求该</w:t>
      </w:r>
      <w:r>
        <w:rPr>
          <w:rFonts w:hint="eastAsia" w:ascii="宋体" w:hAnsi="宋体" w:cs="宋体"/>
          <w:szCs w:val="21"/>
          <w:lang w:eastAsia="zh-CN"/>
        </w:rPr>
        <w:t>报价人</w:t>
      </w:r>
      <w:r>
        <w:rPr>
          <w:rFonts w:hint="eastAsia" w:ascii="宋体" w:hAnsi="宋体" w:cs="宋体"/>
          <w:szCs w:val="21"/>
        </w:rPr>
        <w:t>作出书面说明并提供相应的证明产品。</w:t>
      </w:r>
      <w:r>
        <w:rPr>
          <w:rFonts w:hint="eastAsia" w:ascii="宋体" w:hAnsi="宋体" w:cs="宋体"/>
          <w:szCs w:val="21"/>
          <w:lang w:eastAsia="zh-CN"/>
        </w:rPr>
        <w:t>报价人</w:t>
      </w:r>
      <w:r>
        <w:rPr>
          <w:rFonts w:hint="eastAsia" w:ascii="宋体" w:hAnsi="宋体" w:cs="宋体"/>
          <w:szCs w:val="21"/>
        </w:rPr>
        <w:t>不能合理说明或者不能提供相应证明产品的，由评审小组认定</w:t>
      </w:r>
      <w:r>
        <w:rPr>
          <w:rFonts w:hint="eastAsia" w:ascii="宋体" w:hAnsi="宋体" w:cs="宋体"/>
          <w:szCs w:val="21"/>
          <w:lang w:eastAsia="zh-CN"/>
        </w:rPr>
        <w:t>报价人</w:t>
      </w:r>
      <w:r>
        <w:rPr>
          <w:rFonts w:hint="eastAsia" w:ascii="宋体" w:hAnsi="宋体" w:cs="宋体"/>
          <w:szCs w:val="21"/>
        </w:rPr>
        <w:t>以低于成本报价竞标，并否决其竞标。</w:t>
      </w:r>
    </w:p>
    <w:p>
      <w:pPr>
        <w:spacing w:line="360" w:lineRule="auto"/>
        <w:rPr>
          <w:rFonts w:ascii="宋体" w:hAnsi="宋体" w:cs="宋体"/>
          <w:szCs w:val="21"/>
        </w:rPr>
      </w:pPr>
      <w:r>
        <w:rPr>
          <w:rFonts w:hint="eastAsia" w:ascii="宋体" w:hAnsi="宋体" w:cs="宋体"/>
          <w:szCs w:val="21"/>
        </w:rPr>
        <w:t>3.3 响应文件的澄清</w:t>
      </w:r>
    </w:p>
    <w:p>
      <w:pPr>
        <w:spacing w:line="360" w:lineRule="auto"/>
        <w:ind w:firstLine="420" w:firstLineChars="200"/>
        <w:rPr>
          <w:rFonts w:ascii="宋体" w:hAnsi="宋体" w:cs="宋体"/>
          <w:szCs w:val="21"/>
        </w:rPr>
      </w:pPr>
      <w:r>
        <w:rPr>
          <w:rFonts w:hint="eastAsia" w:ascii="宋体" w:hAnsi="宋体" w:cs="宋体"/>
          <w:szCs w:val="21"/>
        </w:rPr>
        <w:t>3.3.1 在评标过程中，评审小组可以书面形式要求</w:t>
      </w:r>
      <w:r>
        <w:rPr>
          <w:rFonts w:hint="eastAsia" w:ascii="宋体" w:hAnsi="宋体" w:cs="宋体"/>
          <w:szCs w:val="21"/>
          <w:lang w:eastAsia="zh-CN"/>
        </w:rPr>
        <w:t>报价人</w:t>
      </w:r>
      <w:r>
        <w:rPr>
          <w:rFonts w:hint="eastAsia" w:ascii="宋体" w:hAnsi="宋体" w:cs="宋体"/>
          <w:szCs w:val="21"/>
        </w:rPr>
        <w:t>对响应文件中含义不明确、对同类问题表述不一致或者有明显文字和计算错误的内容作必要的澄清、说明或补正。澄清、说明或补正应以书面方式进行。评审小组不接受</w:t>
      </w:r>
      <w:r>
        <w:rPr>
          <w:rFonts w:hint="eastAsia" w:ascii="宋体" w:hAnsi="宋体" w:cs="宋体"/>
          <w:szCs w:val="21"/>
          <w:lang w:eastAsia="zh-CN"/>
        </w:rPr>
        <w:t>报价人</w:t>
      </w:r>
      <w:r>
        <w:rPr>
          <w:rFonts w:hint="eastAsia" w:ascii="宋体" w:hAnsi="宋体" w:cs="宋体"/>
          <w:szCs w:val="21"/>
        </w:rPr>
        <w:t>主动提出的澄清、说明或补正。</w:t>
      </w:r>
    </w:p>
    <w:p>
      <w:pPr>
        <w:spacing w:line="360" w:lineRule="auto"/>
        <w:ind w:firstLine="420" w:firstLineChars="200"/>
        <w:rPr>
          <w:rFonts w:ascii="宋体" w:hAnsi="宋体" w:cs="宋体"/>
          <w:szCs w:val="21"/>
        </w:rPr>
      </w:pPr>
      <w:r>
        <w:rPr>
          <w:rFonts w:hint="eastAsia" w:ascii="宋体" w:hAnsi="宋体" w:cs="宋体"/>
          <w:szCs w:val="21"/>
        </w:rPr>
        <w:t>3.3.2 澄清、说明或补正不得超出响应文件的范围且不得改变响应文件的实质性内容，并构成响应文件的组成部分。</w:t>
      </w:r>
    </w:p>
    <w:p>
      <w:pPr>
        <w:spacing w:line="360" w:lineRule="auto"/>
        <w:ind w:firstLine="420" w:firstLineChars="200"/>
        <w:rPr>
          <w:rFonts w:ascii="宋体" w:hAnsi="宋体" w:cs="宋体"/>
          <w:szCs w:val="21"/>
        </w:rPr>
      </w:pPr>
      <w:r>
        <w:rPr>
          <w:rFonts w:hint="eastAsia" w:ascii="宋体" w:hAnsi="宋体" w:cs="宋体"/>
          <w:szCs w:val="21"/>
        </w:rPr>
        <w:t>3.3.3 评审小组对</w:t>
      </w:r>
      <w:r>
        <w:rPr>
          <w:rFonts w:hint="eastAsia" w:ascii="宋体" w:hAnsi="宋体" w:cs="宋体"/>
          <w:szCs w:val="21"/>
          <w:lang w:eastAsia="zh-CN"/>
        </w:rPr>
        <w:t>报价人</w:t>
      </w:r>
      <w:r>
        <w:rPr>
          <w:rFonts w:hint="eastAsia" w:ascii="宋体" w:hAnsi="宋体" w:cs="宋体"/>
          <w:szCs w:val="21"/>
        </w:rPr>
        <w:t>提交的澄清、说明或补正有疑问的，可以要求</w:t>
      </w:r>
      <w:r>
        <w:rPr>
          <w:rFonts w:hint="eastAsia" w:ascii="宋体" w:hAnsi="宋体" w:cs="宋体"/>
          <w:szCs w:val="21"/>
          <w:lang w:eastAsia="zh-CN"/>
        </w:rPr>
        <w:t>报价人</w:t>
      </w:r>
      <w:r>
        <w:rPr>
          <w:rFonts w:hint="eastAsia" w:ascii="宋体" w:hAnsi="宋体" w:cs="宋体"/>
          <w:szCs w:val="21"/>
        </w:rPr>
        <w:t>进一步澄清、说明或补正，直至满足评审小组的要求。</w:t>
      </w:r>
    </w:p>
    <w:p>
      <w:pPr>
        <w:spacing w:line="360" w:lineRule="auto"/>
        <w:rPr>
          <w:rFonts w:ascii="宋体" w:hAnsi="宋体" w:cs="宋体"/>
          <w:szCs w:val="21"/>
        </w:rPr>
      </w:pPr>
      <w:r>
        <w:rPr>
          <w:rFonts w:hint="eastAsia" w:ascii="宋体" w:hAnsi="宋体" w:cs="宋体"/>
          <w:szCs w:val="21"/>
        </w:rPr>
        <w:t>3.4 评标结果</w:t>
      </w:r>
    </w:p>
    <w:p>
      <w:pPr>
        <w:spacing w:line="360" w:lineRule="auto"/>
        <w:ind w:firstLine="420" w:firstLineChars="200"/>
        <w:rPr>
          <w:rFonts w:ascii="宋体" w:hAnsi="宋体" w:cs="宋体"/>
          <w:szCs w:val="21"/>
        </w:rPr>
      </w:pPr>
      <w:r>
        <w:rPr>
          <w:rFonts w:hint="eastAsia" w:ascii="宋体" w:hAnsi="宋体" w:cs="宋体"/>
          <w:szCs w:val="21"/>
        </w:rPr>
        <w:t>3.4.1 除第二章“</w:t>
      </w:r>
      <w:r>
        <w:rPr>
          <w:rFonts w:hint="eastAsia" w:ascii="宋体" w:hAnsi="宋体" w:cs="宋体"/>
          <w:szCs w:val="21"/>
          <w:lang w:eastAsia="zh-CN"/>
        </w:rPr>
        <w:t>报价人</w:t>
      </w:r>
      <w:r>
        <w:rPr>
          <w:rFonts w:hint="eastAsia" w:ascii="宋体" w:hAnsi="宋体" w:cs="宋体"/>
          <w:szCs w:val="21"/>
        </w:rPr>
        <w:t>须知”前附表授权直接确定成交人外，评审小组按照经评审的价格由低到高的顺序推荐成交候选人，并标明排序。</w:t>
      </w:r>
    </w:p>
    <w:p>
      <w:pPr>
        <w:spacing w:line="360" w:lineRule="auto"/>
        <w:ind w:firstLine="420" w:firstLineChars="200"/>
        <w:rPr>
          <w:rFonts w:ascii="宋体" w:hAnsi="宋体" w:cs="宋体"/>
          <w:szCs w:val="21"/>
        </w:rPr>
      </w:pPr>
      <w:r>
        <w:rPr>
          <w:rFonts w:hint="eastAsia" w:ascii="宋体" w:hAnsi="宋体" w:cs="宋体"/>
          <w:szCs w:val="21"/>
        </w:rPr>
        <w:t>3.4.2 评审小组完成评标后，应当向询价人提交书面评审报告和成交候选人名单。</w:t>
      </w:r>
    </w:p>
    <w:p>
      <w:pPr>
        <w:spacing w:line="360" w:lineRule="auto"/>
        <w:ind w:firstLine="420" w:firstLineChars="200"/>
        <w:rPr>
          <w:rFonts w:ascii="宋体" w:hAnsi="宋体" w:cs="宋体"/>
          <w:szCs w:val="21"/>
        </w:rPr>
      </w:pPr>
      <w:r>
        <w:rPr>
          <w:rFonts w:ascii="宋体" w:hAnsi="宋体" w:cs="宋体"/>
          <w:szCs w:val="21"/>
        </w:rPr>
        <w:br w:type="page"/>
      </w:r>
    </w:p>
    <w:bookmarkEnd w:id="136"/>
    <w:bookmarkEnd w:id="137"/>
    <w:bookmarkEnd w:id="138"/>
    <w:bookmarkEnd w:id="139"/>
    <w:p>
      <w:pPr>
        <w:pStyle w:val="2"/>
      </w:pPr>
      <w:bookmarkStart w:id="143" w:name="_Toc330498159"/>
      <w:bookmarkStart w:id="144" w:name="_Toc6414294"/>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3"/>
        <w:rPr>
          <w:rFonts w:ascii="方正小标宋简体" w:hAnsi="黑体" w:eastAsia="方正小标宋简体" w:cs="黑体"/>
          <w:b w:val="0"/>
          <w:sz w:val="36"/>
          <w:szCs w:val="36"/>
        </w:rPr>
      </w:pPr>
    </w:p>
    <w:p>
      <w:pPr>
        <w:pStyle w:val="3"/>
        <w:rPr>
          <w:rFonts w:ascii="方正小标宋简体" w:hAnsi="黑体" w:eastAsia="方正小标宋简体" w:cs="黑体"/>
          <w:b w:val="0"/>
          <w:sz w:val="36"/>
          <w:szCs w:val="36"/>
        </w:rPr>
      </w:pPr>
      <w:bookmarkStart w:id="145" w:name="_Toc27398_WPSOffice_Level1"/>
      <w:r>
        <w:rPr>
          <w:rFonts w:hint="eastAsia" w:ascii="方正小标宋简体" w:hAnsi="黑体" w:eastAsia="方正小标宋简体" w:cs="黑体"/>
          <w:b w:val="0"/>
          <w:sz w:val="36"/>
          <w:szCs w:val="36"/>
        </w:rPr>
        <w:t>第四章  合同条款及格式</w:t>
      </w:r>
      <w:bookmarkEnd w:id="143"/>
      <w:bookmarkEnd w:id="144"/>
      <w:bookmarkEnd w:id="145"/>
    </w:p>
    <w:p>
      <w:pPr>
        <w:jc w:val="center"/>
      </w:pPr>
      <w:r>
        <w:br w:type="page"/>
      </w:r>
      <w:bookmarkStart w:id="146" w:name="_Toc510604054"/>
      <w:r>
        <w:rPr>
          <w:rFonts w:hint="eastAsia" w:ascii="黑体" w:hAnsi="黑体" w:cs="黑体"/>
          <w:sz w:val="28"/>
          <w:szCs w:val="28"/>
        </w:rPr>
        <w:t>第一节 通用合同条款</w:t>
      </w:r>
      <w:bookmarkEnd w:id="146"/>
    </w:p>
    <w:p>
      <w:pPr>
        <w:spacing w:line="480" w:lineRule="exact"/>
        <w:rPr>
          <w:rFonts w:ascii="宋体"/>
          <w:szCs w:val="21"/>
        </w:rPr>
      </w:pPr>
    </w:p>
    <w:p>
      <w:pPr>
        <w:pStyle w:val="123"/>
        <w:rPr>
          <w:rFonts w:ascii="宋体" w:hAnsi="宋体" w:eastAsia="宋体" w:cs="宋体"/>
          <w:szCs w:val="28"/>
        </w:rPr>
      </w:pPr>
      <w:r>
        <w:rPr>
          <w:bCs/>
          <w:szCs w:val="28"/>
        </w:rPr>
        <w:t>采用《公路工程标准施工招标文件》（2018年版）</w:t>
      </w:r>
      <w:r>
        <w:rPr>
          <w:rFonts w:hint="eastAsia" w:ascii="宋体" w:hAnsi="宋体" w:eastAsia="宋体" w:cs="宋体"/>
          <w:szCs w:val="28"/>
        </w:rPr>
        <w:t>“通用合同条款”</w:t>
      </w:r>
    </w:p>
    <w:p>
      <w:pPr>
        <w:rPr>
          <w:rFonts w:ascii="宋体"/>
          <w:szCs w:val="21"/>
        </w:rPr>
      </w:pPr>
    </w:p>
    <w:p>
      <w:pPr>
        <w:jc w:val="center"/>
        <w:rPr>
          <w:rFonts w:ascii="黑体" w:hAnsi="黑体" w:cs="黑体"/>
          <w:bCs/>
          <w:sz w:val="28"/>
          <w:szCs w:val="28"/>
        </w:rPr>
      </w:pPr>
      <w:bookmarkStart w:id="147" w:name="_Toc510604055"/>
      <w:r>
        <w:rPr>
          <w:rFonts w:hint="eastAsia" w:ascii="黑体" w:hAnsi="黑体" w:cs="黑体"/>
          <w:sz w:val="28"/>
          <w:szCs w:val="28"/>
        </w:rPr>
        <w:t>第二节 专用合同条款</w:t>
      </w:r>
      <w:bookmarkEnd w:id="147"/>
      <w:bookmarkStart w:id="148" w:name="_Toc330498160"/>
    </w:p>
    <w:p>
      <w:pPr>
        <w:spacing w:line="360" w:lineRule="auto"/>
        <w:rPr>
          <w:b/>
        </w:rPr>
      </w:pPr>
      <w:r>
        <w:rPr>
          <w:rFonts w:hint="eastAsia"/>
          <w:b/>
        </w:rPr>
        <w:t>说</w:t>
      </w:r>
      <w:r>
        <w:rPr>
          <w:b/>
        </w:rPr>
        <w:tab/>
      </w:r>
      <w:r>
        <w:rPr>
          <w:rFonts w:hint="eastAsia"/>
          <w:b/>
        </w:rPr>
        <w:t>明：</w:t>
      </w:r>
    </w:p>
    <w:p>
      <w:pPr>
        <w:spacing w:line="360" w:lineRule="auto"/>
        <w:ind w:firstLine="420" w:firstLineChars="200"/>
        <w:rPr>
          <w:rFonts w:ascii="宋体" w:hAnsi="宋体" w:cs="宋体"/>
        </w:rPr>
      </w:pPr>
      <w:r>
        <w:rPr>
          <w:rFonts w:hint="eastAsia" w:ascii="宋体" w:hAnsi="宋体" w:cs="宋体"/>
        </w:rPr>
        <w:t>1.询价人在根据《公路工程标准施工招标文件》编制项目招标文件中的“项目专用合同条款”时，可根据招标项目的具体特点和实际需要，对“通用合同条款”及“公路工程专用合同条款”进行补充和细化，除“通用合同条款”明确“专用合同条款”可作出不同约定以及“公路工程专用合同条款”明确“项目专用合同条款”可作出不同约定外，补充和细化的内容不得与“通用合同条款”及“公路工程专用合同条款”强制性规定相抵触。同时，补充、细化或约定的内容，不得违反法律、行政法规的强制性规定和平等、自愿、公平和诚实信用原则。</w:t>
      </w:r>
    </w:p>
    <w:p>
      <w:pPr>
        <w:spacing w:line="360" w:lineRule="auto"/>
        <w:ind w:firstLine="420" w:firstLineChars="200"/>
        <w:rPr>
          <w:rFonts w:ascii="宋体" w:hAnsi="宋体" w:cs="宋体"/>
        </w:rPr>
      </w:pPr>
      <w:r>
        <w:rPr>
          <w:rFonts w:hint="eastAsia" w:ascii="宋体" w:hAnsi="宋体" w:cs="宋体"/>
        </w:rPr>
        <w:t>2.项目专用合同条款的编号应与通用合同条款和公路工程专用合同条款一致。</w:t>
      </w:r>
    </w:p>
    <w:p>
      <w:pPr>
        <w:spacing w:line="360" w:lineRule="auto"/>
        <w:ind w:firstLine="420" w:firstLineChars="200"/>
        <w:rPr>
          <w:rFonts w:ascii="宋体" w:hAnsi="宋体" w:cs="宋体"/>
        </w:rPr>
      </w:pPr>
      <w:r>
        <w:rPr>
          <w:rFonts w:hint="eastAsia" w:ascii="宋体" w:hAnsi="宋体" w:cs="宋体"/>
        </w:rPr>
        <w:t>3.项目专用合同条款可对下列内容进行补充和细化：</w:t>
      </w:r>
    </w:p>
    <w:p>
      <w:pPr>
        <w:spacing w:line="360" w:lineRule="auto"/>
        <w:ind w:firstLine="420" w:firstLineChars="200"/>
        <w:rPr>
          <w:rFonts w:ascii="宋体" w:hAnsi="宋体" w:cs="宋体"/>
        </w:rPr>
      </w:pPr>
      <w:r>
        <w:rPr>
          <w:rFonts w:hint="eastAsia" w:ascii="宋体" w:hAnsi="宋体" w:cs="宋体"/>
        </w:rPr>
        <w:t>(1)“通用合同条款”中明确指出“专用合同条款”可对“通用合同条款”进行修改的内容(在“通用合同条款”中用“应按合同约定”“应按专用合同条款约定”“除合同另有约定外”“除专用合同条款另有约定外”“在专用合同条款中约定”等多种文字形式表达)；</w:t>
      </w:r>
    </w:p>
    <w:p>
      <w:pPr>
        <w:spacing w:line="360" w:lineRule="auto"/>
        <w:ind w:firstLine="420" w:firstLineChars="200"/>
        <w:rPr>
          <w:rFonts w:ascii="宋体" w:hAnsi="宋体" w:cs="宋体"/>
        </w:rPr>
      </w:pPr>
      <w:r>
        <w:rPr>
          <w:rFonts w:hint="eastAsia" w:ascii="宋体" w:hAnsi="宋体" w:cs="宋体"/>
        </w:rPr>
        <w:t>(2)“公路工程专用合同条款”中明确指出“项目专用合同条款”可对“公路工程专用合同条款”进行修改的内容(在“公路工程专用合同条款”中用“除项目专用合同条款另有约定外”“项目专用合同条款可能约定的”“项目专用合同条款约定的其他情形”等多种文字形式表达)。</w:t>
      </w:r>
    </w:p>
    <w:p>
      <w:pPr>
        <w:spacing w:line="360" w:lineRule="auto"/>
        <w:ind w:firstLine="420" w:firstLineChars="200"/>
      </w:pPr>
      <w:r>
        <w:rPr>
          <w:rFonts w:hint="eastAsia" w:ascii="宋体" w:hAnsi="宋体" w:cs="宋体"/>
        </w:rPr>
        <w:t>(3)其他需要补充、细化的内容。</w:t>
      </w:r>
    </w:p>
    <w:p>
      <w:pPr>
        <w:spacing w:line="360" w:lineRule="auto"/>
        <w:rPr>
          <w:rFonts w:ascii="宋体" w:hAnsi="宋体" w:eastAsia="黑体"/>
          <w:bCs/>
          <w:sz w:val="24"/>
          <w:szCs w:val="28"/>
        </w:rPr>
      </w:pPr>
      <w:bookmarkStart w:id="149" w:name="_bookmark258"/>
      <w:bookmarkEnd w:id="149"/>
      <w:r>
        <w:br w:type="page"/>
      </w:r>
    </w:p>
    <w:p>
      <w:pPr>
        <w:jc w:val="center"/>
        <w:rPr>
          <w:rFonts w:eastAsia="黑体"/>
          <w:bCs/>
          <w:sz w:val="28"/>
          <w:szCs w:val="28"/>
        </w:rPr>
      </w:pPr>
      <w:r>
        <w:rPr>
          <w:rFonts w:eastAsia="黑体"/>
          <w:bCs/>
          <w:sz w:val="28"/>
          <w:szCs w:val="28"/>
        </w:rPr>
        <w:t>项目专用合同条款数据表</w:t>
      </w:r>
    </w:p>
    <w:p>
      <w:r>
        <w:rPr>
          <w:b/>
          <w:sz w:val="22"/>
        </w:rPr>
        <w:t>说明</w:t>
      </w:r>
      <w:r>
        <w:rPr>
          <w:sz w:val="22"/>
        </w:rPr>
        <w:t>：本数据表是项目专用合同条款中适用于本项目的信息和数据的归纳与提示，是项目专用合同条款的组成部分。</w:t>
      </w:r>
    </w:p>
    <w:tbl>
      <w:tblPr>
        <w:tblStyle w:val="52"/>
        <w:tblW w:w="9220"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5"/>
        <w:gridCol w:w="73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709" w:type="dxa"/>
            <w:tcBorders>
              <w:tl2br w:val="nil"/>
              <w:tr2bl w:val="nil"/>
            </w:tcBorders>
            <w:vAlign w:val="center"/>
          </w:tcPr>
          <w:p>
            <w:pPr>
              <w:snapToGrid w:val="0"/>
              <w:jc w:val="center"/>
              <w:rPr>
                <w:b/>
                <w:szCs w:val="21"/>
              </w:rPr>
            </w:pPr>
            <w:r>
              <w:rPr>
                <w:b/>
                <w:sz w:val="22"/>
                <w:szCs w:val="21"/>
              </w:rPr>
              <w:t>序号</w:t>
            </w:r>
          </w:p>
        </w:tc>
        <w:tc>
          <w:tcPr>
            <w:tcW w:w="1135" w:type="dxa"/>
            <w:tcBorders>
              <w:tl2br w:val="nil"/>
              <w:tr2bl w:val="nil"/>
            </w:tcBorders>
            <w:vAlign w:val="center"/>
          </w:tcPr>
          <w:p>
            <w:pPr>
              <w:snapToGrid w:val="0"/>
              <w:ind w:left="-105" w:leftChars="-50" w:right="-105" w:rightChars="-50"/>
              <w:jc w:val="center"/>
              <w:rPr>
                <w:b/>
                <w:szCs w:val="21"/>
              </w:rPr>
            </w:pPr>
            <w:r>
              <w:rPr>
                <w:b/>
                <w:sz w:val="22"/>
                <w:szCs w:val="21"/>
              </w:rPr>
              <w:t>条目号</w:t>
            </w:r>
          </w:p>
        </w:tc>
        <w:tc>
          <w:tcPr>
            <w:tcW w:w="7376" w:type="dxa"/>
            <w:tcBorders>
              <w:tl2br w:val="nil"/>
              <w:tr2bl w:val="nil"/>
            </w:tcBorders>
            <w:vAlign w:val="center"/>
          </w:tcPr>
          <w:p>
            <w:pPr>
              <w:snapToGrid w:val="0"/>
              <w:jc w:val="center"/>
              <w:rPr>
                <w:b/>
                <w:szCs w:val="21"/>
              </w:rPr>
            </w:pPr>
            <w:r>
              <w:rPr>
                <w:b/>
                <w:sz w:val="22"/>
                <w:szCs w:val="21"/>
              </w:rPr>
              <w:t>信息或数据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1</w:t>
            </w:r>
          </w:p>
        </w:tc>
        <w:tc>
          <w:tcPr>
            <w:tcW w:w="1135" w:type="dxa"/>
            <w:tcBorders>
              <w:tl2br w:val="nil"/>
              <w:tr2bl w:val="nil"/>
            </w:tcBorders>
            <w:vAlign w:val="center"/>
          </w:tcPr>
          <w:p>
            <w:pPr>
              <w:snapToGrid w:val="0"/>
              <w:jc w:val="center"/>
              <w:rPr>
                <w:szCs w:val="21"/>
              </w:rPr>
            </w:pPr>
            <w:r>
              <w:rPr>
                <w:sz w:val="22"/>
                <w:szCs w:val="21"/>
              </w:rPr>
              <w:t>1.1.2.2</w:t>
            </w:r>
          </w:p>
        </w:tc>
        <w:tc>
          <w:tcPr>
            <w:tcW w:w="7376" w:type="dxa"/>
            <w:tcBorders>
              <w:tl2br w:val="nil"/>
              <w:tr2bl w:val="nil"/>
            </w:tcBorders>
            <w:vAlign w:val="center"/>
          </w:tcPr>
          <w:p>
            <w:pPr>
              <w:snapToGrid w:val="0"/>
              <w:rPr>
                <w:sz w:val="22"/>
                <w:szCs w:val="21"/>
              </w:rPr>
            </w:pPr>
            <w:r>
              <w:rPr>
                <w:rFonts w:hint="eastAsia"/>
                <w:sz w:val="22"/>
                <w:szCs w:val="21"/>
              </w:rPr>
              <w:t>发</w:t>
            </w:r>
            <w:r>
              <w:rPr>
                <w:sz w:val="22"/>
                <w:szCs w:val="21"/>
              </w:rPr>
              <w:t xml:space="preserve"> </w:t>
            </w:r>
            <w:r>
              <w:rPr>
                <w:rFonts w:hint="eastAsia"/>
                <w:sz w:val="22"/>
                <w:szCs w:val="21"/>
              </w:rPr>
              <w:t>包</w:t>
            </w:r>
            <w:r>
              <w:rPr>
                <w:sz w:val="22"/>
                <w:szCs w:val="21"/>
              </w:rPr>
              <w:t xml:space="preserve"> </w:t>
            </w:r>
            <w:r>
              <w:rPr>
                <w:rFonts w:hint="eastAsia"/>
                <w:sz w:val="22"/>
                <w:szCs w:val="21"/>
              </w:rPr>
              <w:t>人：安徽省交通控股集团有限公司</w:t>
            </w:r>
          </w:p>
          <w:p>
            <w:pPr>
              <w:snapToGrid w:val="0"/>
              <w:rPr>
                <w:sz w:val="22"/>
                <w:szCs w:val="21"/>
              </w:rPr>
            </w:pPr>
            <w:r>
              <w:rPr>
                <w:rFonts w:hint="eastAsia"/>
                <w:sz w:val="22"/>
                <w:szCs w:val="21"/>
              </w:rPr>
              <w:t>管理单位：安徽省交通控股集团有限公司</w:t>
            </w:r>
            <w:r>
              <w:rPr>
                <w:rFonts w:hint="eastAsia"/>
                <w:sz w:val="22"/>
                <w:szCs w:val="21"/>
                <w:lang w:eastAsia="zh-CN"/>
              </w:rPr>
              <w:t>萧县</w:t>
            </w:r>
            <w:r>
              <w:rPr>
                <w:rFonts w:hint="eastAsia"/>
                <w:sz w:val="22"/>
                <w:szCs w:val="21"/>
              </w:rPr>
              <w:t>管理处</w:t>
            </w:r>
          </w:p>
          <w:p>
            <w:pPr>
              <w:snapToGrid w:val="0"/>
              <w:rPr>
                <w:rFonts w:hint="eastAsia" w:eastAsia="宋体"/>
                <w:sz w:val="22"/>
                <w:szCs w:val="21"/>
                <w:lang w:eastAsia="zh-CN"/>
              </w:rPr>
            </w:pPr>
            <w:r>
              <w:rPr>
                <w:rFonts w:hint="eastAsia"/>
                <w:sz w:val="22"/>
                <w:szCs w:val="21"/>
              </w:rPr>
              <w:t>地</w:t>
            </w:r>
            <w:r>
              <w:rPr>
                <w:sz w:val="22"/>
                <w:szCs w:val="21"/>
              </w:rPr>
              <w:t xml:space="preserve">    </w:t>
            </w:r>
            <w:r>
              <w:rPr>
                <w:rFonts w:hint="eastAsia"/>
                <w:sz w:val="22"/>
                <w:szCs w:val="21"/>
              </w:rPr>
              <w:t>址：安徽省</w:t>
            </w:r>
            <w:r>
              <w:rPr>
                <w:rFonts w:hint="eastAsia"/>
                <w:sz w:val="22"/>
                <w:szCs w:val="21"/>
                <w:lang w:eastAsia="zh-CN"/>
              </w:rPr>
              <w:t>宿州市萧县连霍高速公路萧县东出口处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2</w:t>
            </w:r>
          </w:p>
        </w:tc>
        <w:tc>
          <w:tcPr>
            <w:tcW w:w="1135" w:type="dxa"/>
            <w:tcBorders>
              <w:tl2br w:val="nil"/>
              <w:tr2bl w:val="nil"/>
            </w:tcBorders>
            <w:vAlign w:val="center"/>
          </w:tcPr>
          <w:p>
            <w:pPr>
              <w:snapToGrid w:val="0"/>
              <w:jc w:val="center"/>
              <w:rPr>
                <w:szCs w:val="21"/>
              </w:rPr>
            </w:pPr>
            <w:r>
              <w:rPr>
                <w:sz w:val="22"/>
                <w:szCs w:val="21"/>
              </w:rPr>
              <w:t>1.1.2.6</w:t>
            </w:r>
          </w:p>
        </w:tc>
        <w:tc>
          <w:tcPr>
            <w:tcW w:w="7376" w:type="dxa"/>
            <w:tcBorders>
              <w:tl2br w:val="nil"/>
              <w:tr2bl w:val="nil"/>
            </w:tcBorders>
            <w:vAlign w:val="center"/>
          </w:tcPr>
          <w:p>
            <w:pPr>
              <w:snapToGrid w:val="0"/>
              <w:rPr>
                <w:sz w:val="22"/>
                <w:szCs w:val="21"/>
              </w:rPr>
            </w:pPr>
            <w:r>
              <w:rPr>
                <w:sz w:val="22"/>
                <w:szCs w:val="21"/>
              </w:rPr>
              <w:t>监理人：</w:t>
            </w:r>
            <w:r>
              <w:rPr>
                <w:rFonts w:hint="eastAsia"/>
                <w:sz w:val="22"/>
                <w:szCs w:val="21"/>
              </w:rPr>
              <w:t>业主另行确定。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3</w:t>
            </w:r>
          </w:p>
        </w:tc>
        <w:tc>
          <w:tcPr>
            <w:tcW w:w="1135" w:type="dxa"/>
            <w:tcBorders>
              <w:tl2br w:val="nil"/>
              <w:tr2bl w:val="nil"/>
            </w:tcBorders>
            <w:vAlign w:val="center"/>
          </w:tcPr>
          <w:p>
            <w:pPr>
              <w:snapToGrid w:val="0"/>
              <w:jc w:val="center"/>
              <w:rPr>
                <w:szCs w:val="21"/>
              </w:rPr>
            </w:pPr>
            <w:r>
              <w:rPr>
                <w:sz w:val="22"/>
                <w:szCs w:val="21"/>
              </w:rPr>
              <w:t>1.1.4.3</w:t>
            </w:r>
          </w:p>
        </w:tc>
        <w:tc>
          <w:tcPr>
            <w:tcW w:w="7376" w:type="dxa"/>
            <w:tcBorders>
              <w:tl2br w:val="nil"/>
              <w:tr2bl w:val="nil"/>
            </w:tcBorders>
            <w:vAlign w:val="center"/>
          </w:tcPr>
          <w:p>
            <w:pPr>
              <w:snapToGrid w:val="0"/>
              <w:rPr>
                <w:sz w:val="22"/>
                <w:szCs w:val="21"/>
              </w:rPr>
            </w:pPr>
            <w:r>
              <w:rPr>
                <w:sz w:val="22"/>
                <w:szCs w:val="21"/>
              </w:rPr>
              <w:t>计划工期：</w:t>
            </w:r>
            <w:r>
              <w:rPr>
                <w:rFonts w:hint="eastAsia"/>
                <w:sz w:val="22"/>
                <w:szCs w:val="21"/>
              </w:rPr>
              <w:t>工程分为两期，第一期计划工期为</w:t>
            </w:r>
            <w:r>
              <w:rPr>
                <w:sz w:val="22"/>
                <w:szCs w:val="21"/>
              </w:rPr>
              <w:t>2019</w:t>
            </w:r>
            <w:r>
              <w:rPr>
                <w:rFonts w:hint="eastAsia"/>
                <w:sz w:val="22"/>
                <w:szCs w:val="21"/>
              </w:rPr>
              <w:t>年</w:t>
            </w:r>
            <w:r>
              <w:rPr>
                <w:sz w:val="22"/>
                <w:szCs w:val="21"/>
              </w:rPr>
              <w:t>9</w:t>
            </w:r>
            <w:r>
              <w:rPr>
                <w:rFonts w:hint="eastAsia"/>
                <w:sz w:val="22"/>
                <w:szCs w:val="21"/>
              </w:rPr>
              <w:t>月。第二期计划工期为</w:t>
            </w:r>
            <w:r>
              <w:rPr>
                <w:sz w:val="22"/>
                <w:szCs w:val="21"/>
              </w:rPr>
              <w:t>2020</w:t>
            </w:r>
            <w:r>
              <w:rPr>
                <w:rFonts w:hint="eastAsia"/>
                <w:sz w:val="22"/>
                <w:szCs w:val="21"/>
              </w:rPr>
              <w:t>年</w:t>
            </w:r>
            <w:r>
              <w:rPr>
                <w:sz w:val="22"/>
                <w:szCs w:val="21"/>
              </w:rPr>
              <w:t>1</w:t>
            </w:r>
            <w:r>
              <w:rPr>
                <w:rFonts w:hint="eastAsia"/>
                <w:sz w:val="22"/>
                <w:szCs w:val="21"/>
              </w:rPr>
              <w:t>月至</w:t>
            </w:r>
            <w:r>
              <w:rPr>
                <w:sz w:val="22"/>
                <w:szCs w:val="21"/>
              </w:rPr>
              <w:t>3</w:t>
            </w:r>
            <w:r>
              <w:rPr>
                <w:rFonts w:hint="eastAsia"/>
                <w:sz w:val="22"/>
                <w:szCs w:val="21"/>
              </w:rPr>
              <w:t>月。具体开工日期以合同为准。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4</w:t>
            </w:r>
          </w:p>
        </w:tc>
        <w:tc>
          <w:tcPr>
            <w:tcW w:w="1135" w:type="dxa"/>
            <w:tcBorders>
              <w:tl2br w:val="nil"/>
              <w:tr2bl w:val="nil"/>
            </w:tcBorders>
            <w:vAlign w:val="center"/>
          </w:tcPr>
          <w:p>
            <w:pPr>
              <w:snapToGrid w:val="0"/>
              <w:jc w:val="center"/>
              <w:rPr>
                <w:szCs w:val="21"/>
              </w:rPr>
            </w:pPr>
            <w:r>
              <w:rPr>
                <w:sz w:val="22"/>
                <w:szCs w:val="21"/>
              </w:rPr>
              <w:t>1.1.4.5</w:t>
            </w:r>
          </w:p>
        </w:tc>
        <w:tc>
          <w:tcPr>
            <w:tcW w:w="7376" w:type="dxa"/>
            <w:tcBorders>
              <w:tl2br w:val="nil"/>
              <w:tr2bl w:val="nil"/>
            </w:tcBorders>
            <w:vAlign w:val="center"/>
          </w:tcPr>
          <w:p>
            <w:pPr>
              <w:snapToGrid w:val="0"/>
              <w:rPr>
                <w:sz w:val="22"/>
                <w:szCs w:val="21"/>
              </w:rPr>
            </w:pPr>
            <w:r>
              <w:rPr>
                <w:sz w:val="22"/>
                <w:szCs w:val="21"/>
              </w:rPr>
              <w:t>缺陷责任期：</w:t>
            </w:r>
          </w:p>
          <w:p>
            <w:pPr>
              <w:snapToGrid w:val="0"/>
              <w:rPr>
                <w:sz w:val="22"/>
                <w:szCs w:val="21"/>
              </w:rPr>
            </w:pPr>
            <w:r>
              <w:rPr>
                <w:rFonts w:hint="eastAsia"/>
                <w:sz w:val="22"/>
                <w:szCs w:val="21"/>
              </w:rPr>
              <w:sym w:font="Wingdings 2" w:char="0052"/>
            </w:r>
            <w:r>
              <w:rPr>
                <w:rFonts w:hint="eastAsia"/>
                <w:sz w:val="22"/>
                <w:szCs w:val="21"/>
              </w:rPr>
              <w:t>缺陷责任期自验收合格之日起计算</w:t>
            </w:r>
            <w:r>
              <w:rPr>
                <w:sz w:val="22"/>
                <w:szCs w:val="21"/>
              </w:rPr>
              <w:t xml:space="preserve">  12  </w:t>
            </w:r>
            <w:r>
              <w:rPr>
                <w:rFonts w:hint="eastAsia"/>
                <w:sz w:val="22"/>
                <w:szCs w:val="21"/>
              </w:rPr>
              <w:t>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5</w:t>
            </w:r>
          </w:p>
        </w:tc>
        <w:tc>
          <w:tcPr>
            <w:tcW w:w="1135" w:type="dxa"/>
            <w:tcBorders>
              <w:tl2br w:val="nil"/>
              <w:tr2bl w:val="nil"/>
            </w:tcBorders>
            <w:vAlign w:val="center"/>
          </w:tcPr>
          <w:p>
            <w:pPr>
              <w:snapToGrid w:val="0"/>
              <w:jc w:val="center"/>
              <w:rPr>
                <w:szCs w:val="21"/>
              </w:rPr>
            </w:pPr>
            <w:r>
              <w:rPr>
                <w:sz w:val="22"/>
                <w:szCs w:val="21"/>
              </w:rPr>
              <w:t>5.2.1</w:t>
            </w:r>
          </w:p>
        </w:tc>
        <w:tc>
          <w:tcPr>
            <w:tcW w:w="7376" w:type="dxa"/>
            <w:tcBorders>
              <w:tl2br w:val="nil"/>
              <w:tr2bl w:val="nil"/>
            </w:tcBorders>
            <w:vAlign w:val="center"/>
          </w:tcPr>
          <w:p>
            <w:pPr>
              <w:snapToGrid w:val="0"/>
              <w:rPr>
                <w:sz w:val="22"/>
                <w:szCs w:val="21"/>
              </w:rPr>
            </w:pPr>
            <w:r>
              <w:rPr>
                <w:sz w:val="22"/>
                <w:szCs w:val="21"/>
              </w:rPr>
              <w:t>发包人是否提供材料或工程设备：</w:t>
            </w:r>
            <w:r>
              <w:rPr>
                <w:rFonts w:hint="eastAsia"/>
                <w:sz w:val="2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6</w:t>
            </w:r>
          </w:p>
        </w:tc>
        <w:tc>
          <w:tcPr>
            <w:tcW w:w="1135" w:type="dxa"/>
            <w:tcBorders>
              <w:tl2br w:val="nil"/>
              <w:tr2bl w:val="nil"/>
            </w:tcBorders>
            <w:vAlign w:val="center"/>
          </w:tcPr>
          <w:p>
            <w:pPr>
              <w:snapToGrid w:val="0"/>
              <w:jc w:val="center"/>
              <w:rPr>
                <w:szCs w:val="21"/>
              </w:rPr>
            </w:pPr>
            <w:r>
              <w:rPr>
                <w:sz w:val="22"/>
                <w:szCs w:val="21"/>
              </w:rPr>
              <w:t>6.2</w:t>
            </w:r>
          </w:p>
        </w:tc>
        <w:tc>
          <w:tcPr>
            <w:tcW w:w="7376" w:type="dxa"/>
            <w:tcBorders>
              <w:tl2br w:val="nil"/>
              <w:tr2bl w:val="nil"/>
            </w:tcBorders>
            <w:vAlign w:val="center"/>
          </w:tcPr>
          <w:p>
            <w:pPr>
              <w:snapToGrid w:val="0"/>
              <w:rPr>
                <w:sz w:val="22"/>
                <w:szCs w:val="21"/>
              </w:rPr>
            </w:pPr>
            <w:r>
              <w:rPr>
                <w:sz w:val="22"/>
                <w:szCs w:val="21"/>
              </w:rPr>
              <w:t>发包人是否提供施工设备和临时设施：</w:t>
            </w:r>
            <w:r>
              <w:rPr>
                <w:rFonts w:hint="eastAsia"/>
                <w:sz w:val="2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jc w:val="center"/>
              <w:rPr>
                <w:szCs w:val="21"/>
              </w:rPr>
            </w:pPr>
            <w:r>
              <w:rPr>
                <w:sz w:val="22"/>
                <w:szCs w:val="21"/>
              </w:rPr>
              <w:t>7</w:t>
            </w:r>
          </w:p>
        </w:tc>
        <w:tc>
          <w:tcPr>
            <w:tcW w:w="1135" w:type="dxa"/>
            <w:tcBorders>
              <w:tl2br w:val="nil"/>
              <w:tr2bl w:val="nil"/>
            </w:tcBorders>
            <w:vAlign w:val="center"/>
          </w:tcPr>
          <w:p>
            <w:pPr>
              <w:snapToGrid w:val="0"/>
              <w:jc w:val="center"/>
              <w:rPr>
                <w:szCs w:val="21"/>
              </w:rPr>
            </w:pPr>
            <w:r>
              <w:rPr>
                <w:sz w:val="22"/>
                <w:szCs w:val="21"/>
              </w:rPr>
              <w:t>8.1.1</w:t>
            </w:r>
          </w:p>
        </w:tc>
        <w:tc>
          <w:tcPr>
            <w:tcW w:w="7376" w:type="dxa"/>
            <w:tcBorders>
              <w:tl2br w:val="nil"/>
              <w:tr2bl w:val="nil"/>
            </w:tcBorders>
            <w:vAlign w:val="center"/>
          </w:tcPr>
          <w:p>
            <w:pPr>
              <w:snapToGrid w:val="0"/>
              <w:rPr>
                <w:sz w:val="22"/>
                <w:szCs w:val="21"/>
              </w:rPr>
            </w:pPr>
            <w:r>
              <w:rPr>
                <w:sz w:val="22"/>
                <w:szCs w:val="21"/>
              </w:rPr>
              <w:t>发包人提供测量基准点、基准线和水准点及其书面资料的期限：</w:t>
            </w:r>
            <w:r>
              <w:rPr>
                <w:rFonts w:hint="eastAsia"/>
                <w:sz w:val="22"/>
                <w:szCs w:val="21"/>
              </w:rPr>
              <w:t>无</w:t>
            </w:r>
          </w:p>
          <w:p>
            <w:pPr>
              <w:snapToGrid w:val="0"/>
              <w:rPr>
                <w:sz w:val="22"/>
                <w:szCs w:val="21"/>
              </w:rPr>
            </w:pPr>
            <w:r>
              <w:rPr>
                <w:sz w:val="22"/>
                <w:szCs w:val="21"/>
              </w:rPr>
              <w:t>承包人将施工控制网资料报送监理人审批的期限：</w:t>
            </w:r>
            <w:r>
              <w:rPr>
                <w:rFonts w:hint="eastAsia"/>
                <w:sz w:val="22"/>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8</w:t>
            </w:r>
          </w:p>
        </w:tc>
        <w:tc>
          <w:tcPr>
            <w:tcW w:w="1135" w:type="dxa"/>
            <w:tcBorders>
              <w:tl2br w:val="nil"/>
              <w:tr2bl w:val="nil"/>
            </w:tcBorders>
            <w:vAlign w:val="center"/>
          </w:tcPr>
          <w:p>
            <w:pPr>
              <w:jc w:val="center"/>
              <w:rPr>
                <w:szCs w:val="21"/>
              </w:rPr>
            </w:pPr>
            <w:r>
              <w:rPr>
                <w:sz w:val="22"/>
                <w:szCs w:val="21"/>
              </w:rPr>
              <w:t>9.2.5</w:t>
            </w:r>
          </w:p>
        </w:tc>
        <w:tc>
          <w:tcPr>
            <w:tcW w:w="7376" w:type="dxa"/>
            <w:tcBorders>
              <w:tl2br w:val="nil"/>
              <w:tr2bl w:val="nil"/>
            </w:tcBorders>
            <w:vAlign w:val="center"/>
          </w:tcPr>
          <w:p>
            <w:pPr>
              <w:snapToGrid w:val="0"/>
              <w:jc w:val="left"/>
              <w:rPr>
                <w:sz w:val="22"/>
                <w:szCs w:val="21"/>
              </w:rPr>
            </w:pPr>
            <w:r>
              <w:rPr>
                <w:sz w:val="22"/>
                <w:szCs w:val="21"/>
              </w:rPr>
              <w:t>安全生产费用：</w:t>
            </w:r>
            <w:r>
              <w:rPr>
                <w:rFonts w:hint="eastAsia"/>
                <w:sz w:val="22"/>
                <w:szCs w:val="21"/>
              </w:rPr>
              <w:t>工程量清单实体工程子目报价之和的</w:t>
            </w:r>
            <w:r>
              <w:rPr>
                <w:rFonts w:hint="eastAsia"/>
                <w:sz w:val="22"/>
                <w:szCs w:val="21"/>
                <w:lang w:val="en-US" w:eastAsia="zh-CN"/>
              </w:rPr>
              <w:t>3</w:t>
            </w:r>
            <w:r>
              <w:rPr>
                <w:sz w:val="22"/>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9</w:t>
            </w:r>
          </w:p>
        </w:tc>
        <w:tc>
          <w:tcPr>
            <w:tcW w:w="1135" w:type="dxa"/>
            <w:tcBorders>
              <w:tl2br w:val="nil"/>
              <w:tr2bl w:val="nil"/>
            </w:tcBorders>
            <w:vAlign w:val="center"/>
          </w:tcPr>
          <w:p>
            <w:pPr>
              <w:jc w:val="center"/>
              <w:rPr>
                <w:szCs w:val="21"/>
              </w:rPr>
            </w:pPr>
            <w:r>
              <w:rPr>
                <w:sz w:val="22"/>
                <w:szCs w:val="21"/>
              </w:rPr>
              <w:t>11.5（3）</w:t>
            </w:r>
          </w:p>
        </w:tc>
        <w:tc>
          <w:tcPr>
            <w:tcW w:w="7376" w:type="dxa"/>
            <w:tcBorders>
              <w:tl2br w:val="nil"/>
              <w:tr2bl w:val="nil"/>
            </w:tcBorders>
            <w:vAlign w:val="center"/>
          </w:tcPr>
          <w:p>
            <w:pPr>
              <w:snapToGrid w:val="0"/>
              <w:rPr>
                <w:sz w:val="22"/>
                <w:szCs w:val="21"/>
              </w:rPr>
            </w:pPr>
            <w:r>
              <w:rPr>
                <w:sz w:val="22"/>
                <w:szCs w:val="21"/>
              </w:rPr>
              <w:t xml:space="preserve">逾期交工违约金：  </w:t>
            </w:r>
            <w:r>
              <w:rPr>
                <w:rFonts w:hint="eastAsia"/>
                <w:sz w:val="22"/>
                <w:szCs w:val="21"/>
                <w:lang w:val="en-US" w:eastAsia="zh-CN"/>
              </w:rPr>
              <w:t>2000</w:t>
            </w:r>
            <w:r>
              <w:rPr>
                <w:sz w:val="22"/>
                <w:szCs w:val="21"/>
              </w:rPr>
              <w:t xml:space="preserve"> 元/天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10</w:t>
            </w:r>
          </w:p>
        </w:tc>
        <w:tc>
          <w:tcPr>
            <w:tcW w:w="1135" w:type="dxa"/>
            <w:tcBorders>
              <w:tl2br w:val="nil"/>
              <w:tr2bl w:val="nil"/>
            </w:tcBorders>
            <w:vAlign w:val="center"/>
          </w:tcPr>
          <w:p>
            <w:pPr>
              <w:jc w:val="center"/>
              <w:rPr>
                <w:szCs w:val="21"/>
              </w:rPr>
            </w:pPr>
            <w:r>
              <w:rPr>
                <w:sz w:val="22"/>
                <w:szCs w:val="21"/>
              </w:rPr>
              <w:t>11.5（3）</w:t>
            </w:r>
          </w:p>
        </w:tc>
        <w:tc>
          <w:tcPr>
            <w:tcW w:w="7376" w:type="dxa"/>
            <w:tcBorders>
              <w:tl2br w:val="nil"/>
              <w:tr2bl w:val="nil"/>
            </w:tcBorders>
            <w:vAlign w:val="center"/>
          </w:tcPr>
          <w:p>
            <w:pPr>
              <w:snapToGrid w:val="0"/>
              <w:rPr>
                <w:sz w:val="22"/>
                <w:szCs w:val="21"/>
              </w:rPr>
            </w:pPr>
            <w:r>
              <w:rPr>
                <w:sz w:val="22"/>
                <w:szCs w:val="21"/>
              </w:rPr>
              <w:t>逾期交工违约金限额：  10  %签约合同价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11</w:t>
            </w:r>
          </w:p>
        </w:tc>
        <w:tc>
          <w:tcPr>
            <w:tcW w:w="1135" w:type="dxa"/>
            <w:tcBorders>
              <w:tl2br w:val="nil"/>
              <w:tr2bl w:val="nil"/>
            </w:tcBorders>
            <w:vAlign w:val="center"/>
          </w:tcPr>
          <w:p>
            <w:pPr>
              <w:jc w:val="center"/>
              <w:rPr>
                <w:szCs w:val="21"/>
              </w:rPr>
            </w:pPr>
            <w:r>
              <w:rPr>
                <w:sz w:val="22"/>
                <w:szCs w:val="21"/>
              </w:rPr>
              <w:t>11.6</w:t>
            </w:r>
          </w:p>
        </w:tc>
        <w:tc>
          <w:tcPr>
            <w:tcW w:w="7376" w:type="dxa"/>
            <w:tcBorders>
              <w:tl2br w:val="nil"/>
              <w:tr2bl w:val="nil"/>
            </w:tcBorders>
            <w:vAlign w:val="center"/>
          </w:tcPr>
          <w:p>
            <w:pPr>
              <w:snapToGrid w:val="0"/>
              <w:rPr>
                <w:szCs w:val="21"/>
              </w:rPr>
            </w:pPr>
            <w:r>
              <w:rPr>
                <w:sz w:val="22"/>
                <w:szCs w:val="21"/>
              </w:rPr>
              <w:t>提前交工的奖金：</w:t>
            </w:r>
            <w:r>
              <w:rPr>
                <w:sz w:val="22"/>
                <w:szCs w:val="21"/>
                <w:u w:val="single"/>
              </w:rPr>
              <w:t xml:space="preserve"> </w:t>
            </w:r>
            <w:r>
              <w:rPr>
                <w:rFonts w:hint="eastAsia"/>
                <w:sz w:val="22"/>
                <w:szCs w:val="21"/>
                <w:u w:val="single"/>
              </w:rPr>
              <w:t>0</w:t>
            </w:r>
            <w:r>
              <w:rPr>
                <w:sz w:val="22"/>
                <w:szCs w:val="21"/>
              </w:rPr>
              <w:t>元/天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12</w:t>
            </w:r>
          </w:p>
        </w:tc>
        <w:tc>
          <w:tcPr>
            <w:tcW w:w="1135" w:type="dxa"/>
            <w:tcBorders>
              <w:tl2br w:val="nil"/>
              <w:tr2bl w:val="nil"/>
            </w:tcBorders>
            <w:vAlign w:val="center"/>
          </w:tcPr>
          <w:p>
            <w:pPr>
              <w:jc w:val="center"/>
              <w:rPr>
                <w:szCs w:val="21"/>
              </w:rPr>
            </w:pPr>
            <w:r>
              <w:rPr>
                <w:sz w:val="22"/>
                <w:szCs w:val="21"/>
              </w:rPr>
              <w:t>11.6</w:t>
            </w:r>
          </w:p>
        </w:tc>
        <w:tc>
          <w:tcPr>
            <w:tcW w:w="7376" w:type="dxa"/>
            <w:tcBorders>
              <w:tl2br w:val="nil"/>
              <w:tr2bl w:val="nil"/>
            </w:tcBorders>
            <w:vAlign w:val="center"/>
          </w:tcPr>
          <w:p>
            <w:pPr>
              <w:snapToGrid w:val="0"/>
              <w:rPr>
                <w:szCs w:val="21"/>
              </w:rPr>
            </w:pPr>
            <w:r>
              <w:rPr>
                <w:sz w:val="22"/>
                <w:szCs w:val="21"/>
              </w:rPr>
              <w:t>提前交工的奖金限额：</w:t>
            </w:r>
            <w:r>
              <w:rPr>
                <w:sz w:val="22"/>
                <w:szCs w:val="21"/>
                <w:u w:val="single"/>
              </w:rPr>
              <w:t xml:space="preserve"> </w:t>
            </w:r>
            <w:r>
              <w:rPr>
                <w:rFonts w:hint="eastAsia"/>
                <w:sz w:val="22"/>
                <w:szCs w:val="21"/>
                <w:u w:val="single"/>
              </w:rPr>
              <w:t>0</w:t>
            </w:r>
            <w:r>
              <w:rPr>
                <w:sz w:val="22"/>
                <w:szCs w:val="21"/>
              </w:rPr>
              <w:t>%签约合同价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13</w:t>
            </w:r>
          </w:p>
        </w:tc>
        <w:tc>
          <w:tcPr>
            <w:tcW w:w="1135" w:type="dxa"/>
            <w:tcBorders>
              <w:tl2br w:val="nil"/>
              <w:tr2bl w:val="nil"/>
            </w:tcBorders>
            <w:vAlign w:val="center"/>
          </w:tcPr>
          <w:p>
            <w:pPr>
              <w:snapToGrid w:val="0"/>
              <w:jc w:val="center"/>
              <w:rPr>
                <w:szCs w:val="21"/>
              </w:rPr>
            </w:pPr>
            <w:r>
              <w:rPr>
                <w:sz w:val="22"/>
                <w:szCs w:val="21"/>
              </w:rPr>
              <w:t>15.5.2</w:t>
            </w:r>
          </w:p>
        </w:tc>
        <w:tc>
          <w:tcPr>
            <w:tcW w:w="7376" w:type="dxa"/>
            <w:tcBorders>
              <w:tl2br w:val="nil"/>
              <w:tr2bl w:val="nil"/>
            </w:tcBorders>
            <w:vAlign w:val="center"/>
          </w:tcPr>
          <w:p>
            <w:pPr>
              <w:snapToGrid w:val="0"/>
              <w:rPr>
                <w:szCs w:val="21"/>
              </w:rPr>
            </w:pPr>
            <w:r>
              <w:rPr>
                <w:sz w:val="22"/>
                <w:szCs w:val="21"/>
              </w:rPr>
              <w:t>承包人提出的合理化建议降低了合同价格或者提高了工程经济效益的，发包人按所节约成本的</w:t>
            </w:r>
            <w:r>
              <w:rPr>
                <w:sz w:val="22"/>
                <w:szCs w:val="21"/>
                <w:u w:val="single"/>
              </w:rPr>
              <w:t xml:space="preserve"> </w:t>
            </w:r>
            <w:r>
              <w:rPr>
                <w:rFonts w:hint="eastAsia"/>
                <w:sz w:val="22"/>
                <w:szCs w:val="21"/>
              </w:rPr>
              <w:t>0</w:t>
            </w:r>
            <w:r>
              <w:rPr>
                <w:sz w:val="22"/>
                <w:szCs w:val="21"/>
              </w:rPr>
              <w:t>/</w:t>
            </w:r>
            <w:r>
              <w:rPr>
                <w:sz w:val="22"/>
                <w:szCs w:val="21"/>
                <w:u w:val="single"/>
              </w:rPr>
              <w:t xml:space="preserve"> </w:t>
            </w:r>
            <w:r>
              <w:rPr>
                <w:sz w:val="22"/>
                <w:szCs w:val="21"/>
              </w:rPr>
              <w:t>%或增加收益的</w:t>
            </w:r>
            <w:r>
              <w:rPr>
                <w:sz w:val="22"/>
                <w:szCs w:val="21"/>
                <w:u w:val="single"/>
              </w:rPr>
              <w:t xml:space="preserve"> </w:t>
            </w:r>
            <w:r>
              <w:rPr>
                <w:rFonts w:hint="eastAsia"/>
                <w:sz w:val="22"/>
                <w:szCs w:val="21"/>
                <w:u w:val="single"/>
              </w:rPr>
              <w:t>0</w:t>
            </w:r>
            <w:r>
              <w:rPr>
                <w:sz w:val="22"/>
                <w:szCs w:val="21"/>
                <w:u w:val="single"/>
              </w:rPr>
              <w:t xml:space="preserve"> </w:t>
            </w:r>
            <w:r>
              <w:rPr>
                <w:sz w:val="22"/>
                <w:szCs w:val="21"/>
              </w:rPr>
              <w:t>%给予奖励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14</w:t>
            </w:r>
          </w:p>
        </w:tc>
        <w:tc>
          <w:tcPr>
            <w:tcW w:w="1135" w:type="dxa"/>
            <w:tcBorders>
              <w:tl2br w:val="nil"/>
              <w:tr2bl w:val="nil"/>
            </w:tcBorders>
            <w:vAlign w:val="center"/>
          </w:tcPr>
          <w:p>
            <w:pPr>
              <w:snapToGrid w:val="0"/>
              <w:jc w:val="center"/>
              <w:rPr>
                <w:szCs w:val="21"/>
              </w:rPr>
            </w:pPr>
            <w:r>
              <w:rPr>
                <w:sz w:val="22"/>
                <w:szCs w:val="21"/>
              </w:rPr>
              <w:t>16.1</w:t>
            </w:r>
          </w:p>
        </w:tc>
        <w:tc>
          <w:tcPr>
            <w:tcW w:w="7376" w:type="dxa"/>
            <w:tcBorders>
              <w:tl2br w:val="nil"/>
              <w:tr2bl w:val="nil"/>
            </w:tcBorders>
            <w:vAlign w:val="center"/>
          </w:tcPr>
          <w:p>
            <w:pPr>
              <w:snapToGrid w:val="0"/>
              <w:rPr>
                <w:szCs w:val="21"/>
              </w:rPr>
            </w:pPr>
            <w:r>
              <w:rPr>
                <w:sz w:val="22"/>
                <w:szCs w:val="21"/>
              </w:rPr>
              <w:t>合同期内不调价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15</w:t>
            </w:r>
          </w:p>
        </w:tc>
        <w:tc>
          <w:tcPr>
            <w:tcW w:w="1135" w:type="dxa"/>
            <w:tcBorders>
              <w:tl2br w:val="nil"/>
              <w:tr2bl w:val="nil"/>
            </w:tcBorders>
            <w:vAlign w:val="center"/>
          </w:tcPr>
          <w:p>
            <w:pPr>
              <w:snapToGrid w:val="0"/>
              <w:jc w:val="center"/>
              <w:rPr>
                <w:szCs w:val="21"/>
              </w:rPr>
            </w:pPr>
            <w:r>
              <w:rPr>
                <w:sz w:val="22"/>
                <w:szCs w:val="21"/>
              </w:rPr>
              <w:t>17.2.1（1）</w:t>
            </w:r>
          </w:p>
        </w:tc>
        <w:tc>
          <w:tcPr>
            <w:tcW w:w="7376" w:type="dxa"/>
            <w:tcBorders>
              <w:tl2br w:val="nil"/>
              <w:tr2bl w:val="nil"/>
            </w:tcBorders>
            <w:vAlign w:val="center"/>
          </w:tcPr>
          <w:p>
            <w:pPr>
              <w:snapToGrid w:val="0"/>
              <w:rPr>
                <w:szCs w:val="21"/>
              </w:rPr>
            </w:pPr>
            <w:r>
              <w:rPr>
                <w:sz w:val="22"/>
                <w:szCs w:val="21"/>
              </w:rPr>
              <w:t>开工预付款金额：</w:t>
            </w:r>
            <w:r>
              <w:rPr>
                <w:sz w:val="22"/>
                <w:szCs w:val="21"/>
                <w:u w:val="single"/>
              </w:rPr>
              <w:t xml:space="preserve"> </w:t>
            </w:r>
            <w:r>
              <w:rPr>
                <w:rFonts w:hint="eastAsia"/>
                <w:sz w:val="22"/>
                <w:szCs w:val="21"/>
                <w:u w:val="single"/>
              </w:rPr>
              <w:t>0</w:t>
            </w:r>
            <w:r>
              <w:rPr>
                <w:sz w:val="22"/>
                <w:szCs w:val="21"/>
                <w:u w:val="single"/>
              </w:rPr>
              <w:t xml:space="preserve">  </w:t>
            </w:r>
            <w:r>
              <w:rPr>
                <w:sz w:val="22"/>
                <w:szCs w:val="21"/>
              </w:rPr>
              <w:t>%签约合同价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16</w:t>
            </w:r>
          </w:p>
        </w:tc>
        <w:tc>
          <w:tcPr>
            <w:tcW w:w="1135" w:type="dxa"/>
            <w:tcBorders>
              <w:tl2br w:val="nil"/>
              <w:tr2bl w:val="nil"/>
            </w:tcBorders>
            <w:vAlign w:val="center"/>
          </w:tcPr>
          <w:p>
            <w:pPr>
              <w:snapToGrid w:val="0"/>
              <w:jc w:val="center"/>
              <w:rPr>
                <w:szCs w:val="21"/>
              </w:rPr>
            </w:pPr>
            <w:r>
              <w:rPr>
                <w:sz w:val="22"/>
                <w:szCs w:val="21"/>
              </w:rPr>
              <w:t>17.2.1（2）</w:t>
            </w:r>
          </w:p>
        </w:tc>
        <w:tc>
          <w:tcPr>
            <w:tcW w:w="7376" w:type="dxa"/>
            <w:tcBorders>
              <w:tl2br w:val="nil"/>
              <w:tr2bl w:val="nil"/>
            </w:tcBorders>
            <w:vAlign w:val="center"/>
          </w:tcPr>
          <w:p>
            <w:pPr>
              <w:snapToGrid w:val="0"/>
              <w:rPr>
                <w:szCs w:val="21"/>
              </w:rPr>
            </w:pPr>
            <w:r>
              <w:rPr>
                <w:sz w:val="22"/>
                <w:szCs w:val="21"/>
              </w:rPr>
              <w:t>材料、设备预付款比例：</w:t>
            </w:r>
            <w:r>
              <w:rPr>
                <w:kern w:val="0"/>
                <w:sz w:val="22"/>
                <w:u w:val="single"/>
              </w:rPr>
              <w:t xml:space="preserve"> </w:t>
            </w:r>
            <w:r>
              <w:rPr>
                <w:rFonts w:hint="eastAsia"/>
                <w:kern w:val="0"/>
                <w:sz w:val="22"/>
                <w:u w:val="single"/>
              </w:rPr>
              <w:t>0</w:t>
            </w:r>
            <w:r>
              <w:rPr>
                <w:kern w:val="0"/>
                <w:sz w:val="22"/>
                <w:u w:val="single"/>
              </w:rPr>
              <w:t xml:space="preserve">  </w:t>
            </w:r>
            <w:r>
              <w:rPr>
                <w:kern w:val="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17</w:t>
            </w:r>
          </w:p>
        </w:tc>
        <w:tc>
          <w:tcPr>
            <w:tcW w:w="1135" w:type="dxa"/>
            <w:tcBorders>
              <w:tl2br w:val="nil"/>
              <w:tr2bl w:val="nil"/>
            </w:tcBorders>
            <w:vAlign w:val="center"/>
          </w:tcPr>
          <w:p>
            <w:pPr>
              <w:snapToGrid w:val="0"/>
              <w:jc w:val="center"/>
              <w:rPr>
                <w:szCs w:val="21"/>
              </w:rPr>
            </w:pPr>
            <w:r>
              <w:rPr>
                <w:sz w:val="22"/>
                <w:szCs w:val="21"/>
              </w:rPr>
              <w:t>17.3.2</w:t>
            </w:r>
          </w:p>
        </w:tc>
        <w:tc>
          <w:tcPr>
            <w:tcW w:w="7376" w:type="dxa"/>
            <w:tcBorders>
              <w:tl2br w:val="nil"/>
              <w:tr2bl w:val="nil"/>
            </w:tcBorders>
            <w:vAlign w:val="center"/>
          </w:tcPr>
          <w:p>
            <w:pPr>
              <w:snapToGrid w:val="0"/>
              <w:rPr>
                <w:spacing w:val="-2"/>
                <w:szCs w:val="21"/>
              </w:rPr>
            </w:pPr>
            <w:r>
              <w:rPr>
                <w:spacing w:val="-2"/>
                <w:sz w:val="22"/>
                <w:szCs w:val="21"/>
              </w:rPr>
              <w:t>承包人在每个付款周期末向发包人提交进度付款申请单的份数：</w:t>
            </w:r>
            <w:r>
              <w:rPr>
                <w:spacing w:val="-2"/>
                <w:sz w:val="22"/>
                <w:szCs w:val="21"/>
                <w:u w:val="single"/>
              </w:rPr>
              <w:t xml:space="preserve">   </w:t>
            </w:r>
            <w:r>
              <w:rPr>
                <w:spacing w:val="-2"/>
                <w:sz w:val="22"/>
                <w:szCs w:val="21"/>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18</w:t>
            </w:r>
          </w:p>
        </w:tc>
        <w:tc>
          <w:tcPr>
            <w:tcW w:w="1135" w:type="dxa"/>
            <w:tcBorders>
              <w:tl2br w:val="nil"/>
              <w:tr2bl w:val="nil"/>
            </w:tcBorders>
            <w:vAlign w:val="center"/>
          </w:tcPr>
          <w:p>
            <w:pPr>
              <w:snapToGrid w:val="0"/>
              <w:jc w:val="center"/>
              <w:rPr>
                <w:szCs w:val="21"/>
              </w:rPr>
            </w:pPr>
            <w:r>
              <w:rPr>
                <w:sz w:val="22"/>
                <w:szCs w:val="21"/>
              </w:rPr>
              <w:t>17.3.3（1）</w:t>
            </w:r>
          </w:p>
        </w:tc>
        <w:tc>
          <w:tcPr>
            <w:tcW w:w="7376" w:type="dxa"/>
            <w:tcBorders>
              <w:tl2br w:val="nil"/>
              <w:tr2bl w:val="nil"/>
            </w:tcBorders>
            <w:vAlign w:val="center"/>
          </w:tcPr>
          <w:p>
            <w:pPr>
              <w:snapToGrid w:val="0"/>
              <w:rPr>
                <w:szCs w:val="21"/>
              </w:rPr>
            </w:pPr>
            <w:r>
              <w:rPr>
                <w:sz w:val="22"/>
                <w:szCs w:val="21"/>
              </w:rPr>
              <w:t>进度付款证书最低限额：</w:t>
            </w:r>
            <w:r>
              <w:rPr>
                <w:sz w:val="22"/>
                <w:szCs w:val="21"/>
                <w:u w:val="single"/>
              </w:rPr>
              <w:t xml:space="preserve">  </w:t>
            </w:r>
            <w:r>
              <w:rPr>
                <w:rFonts w:hint="eastAsia"/>
                <w:sz w:val="22"/>
                <w:szCs w:val="21"/>
                <w:u w:val="single"/>
              </w:rPr>
              <w:t>0</w:t>
            </w:r>
            <w:r>
              <w:rPr>
                <w:sz w:val="22"/>
                <w:szCs w:val="21"/>
                <w:u w:val="single"/>
              </w:rPr>
              <w:t xml:space="preserve"> </w:t>
            </w:r>
            <w:r>
              <w:rPr>
                <w:sz w:val="22"/>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19</w:t>
            </w:r>
          </w:p>
        </w:tc>
        <w:tc>
          <w:tcPr>
            <w:tcW w:w="1135" w:type="dxa"/>
            <w:tcBorders>
              <w:tl2br w:val="nil"/>
              <w:tr2bl w:val="nil"/>
            </w:tcBorders>
            <w:vAlign w:val="center"/>
          </w:tcPr>
          <w:p>
            <w:pPr>
              <w:snapToGrid w:val="0"/>
              <w:jc w:val="center"/>
              <w:rPr>
                <w:szCs w:val="21"/>
              </w:rPr>
            </w:pPr>
            <w:r>
              <w:rPr>
                <w:sz w:val="22"/>
                <w:szCs w:val="21"/>
              </w:rPr>
              <w:t>17.3.3（2）</w:t>
            </w:r>
          </w:p>
        </w:tc>
        <w:tc>
          <w:tcPr>
            <w:tcW w:w="7376" w:type="dxa"/>
            <w:tcBorders>
              <w:tl2br w:val="nil"/>
              <w:tr2bl w:val="nil"/>
            </w:tcBorders>
            <w:vAlign w:val="center"/>
          </w:tcPr>
          <w:p>
            <w:pPr>
              <w:snapToGrid w:val="0"/>
              <w:rPr>
                <w:szCs w:val="21"/>
                <w:u w:val="single"/>
              </w:rPr>
            </w:pPr>
            <w:r>
              <w:rPr>
                <w:sz w:val="22"/>
              </w:rPr>
              <w:t>逾期付款违约金的利率：不计。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20</w:t>
            </w:r>
          </w:p>
        </w:tc>
        <w:tc>
          <w:tcPr>
            <w:tcW w:w="1135" w:type="dxa"/>
            <w:tcBorders>
              <w:tl2br w:val="nil"/>
              <w:tr2bl w:val="nil"/>
            </w:tcBorders>
            <w:vAlign w:val="center"/>
          </w:tcPr>
          <w:p>
            <w:pPr>
              <w:snapToGrid w:val="0"/>
              <w:jc w:val="center"/>
              <w:rPr>
                <w:szCs w:val="21"/>
              </w:rPr>
            </w:pPr>
            <w:r>
              <w:rPr>
                <w:sz w:val="22"/>
                <w:szCs w:val="21"/>
              </w:rPr>
              <w:t>17.4.1</w:t>
            </w:r>
          </w:p>
        </w:tc>
        <w:tc>
          <w:tcPr>
            <w:tcW w:w="7376" w:type="dxa"/>
            <w:tcBorders>
              <w:tl2br w:val="nil"/>
              <w:tr2bl w:val="nil"/>
            </w:tcBorders>
            <w:vAlign w:val="center"/>
          </w:tcPr>
          <w:p>
            <w:pPr>
              <w:snapToGrid w:val="0"/>
              <w:rPr>
                <w:sz w:val="22"/>
                <w:szCs w:val="21"/>
              </w:rPr>
            </w:pPr>
            <w:r>
              <w:rPr>
                <w:sz w:val="22"/>
                <w:szCs w:val="21"/>
              </w:rPr>
              <w:t>质量保证金金额：</w:t>
            </w:r>
            <w:r>
              <w:rPr>
                <w:sz w:val="22"/>
                <w:szCs w:val="21"/>
                <w:u w:val="single"/>
              </w:rPr>
              <w:t xml:space="preserve"> </w:t>
            </w:r>
            <w:r>
              <w:rPr>
                <w:rFonts w:hint="eastAsia"/>
                <w:sz w:val="22"/>
                <w:szCs w:val="21"/>
                <w:u w:val="single"/>
              </w:rPr>
              <w:t>3</w:t>
            </w:r>
            <w:r>
              <w:rPr>
                <w:sz w:val="22"/>
                <w:szCs w:val="21"/>
                <w:u w:val="single"/>
              </w:rPr>
              <w:t xml:space="preserve"> </w:t>
            </w:r>
            <w:r>
              <w:rPr>
                <w:sz w:val="22"/>
                <w:szCs w:val="21"/>
              </w:rPr>
              <w:t>%合同价格。</w:t>
            </w:r>
          </w:p>
          <w:p>
            <w:pPr>
              <w:snapToGrid w:val="0"/>
              <w:rPr>
                <w:sz w:val="22"/>
                <w:szCs w:val="21"/>
              </w:rPr>
            </w:pPr>
            <w:r>
              <w:rPr>
                <w:sz w:val="22"/>
                <w:szCs w:val="21"/>
              </w:rPr>
              <w:t>质量保证金百分比：当期计量额的</w:t>
            </w:r>
            <w:r>
              <w:rPr>
                <w:sz w:val="22"/>
                <w:szCs w:val="21"/>
                <w:u w:val="single"/>
              </w:rPr>
              <w:t xml:space="preserve"> </w:t>
            </w:r>
            <w:r>
              <w:rPr>
                <w:rFonts w:hint="eastAsia"/>
                <w:sz w:val="22"/>
                <w:szCs w:val="21"/>
                <w:u w:val="single"/>
              </w:rPr>
              <w:t>3</w:t>
            </w:r>
            <w:r>
              <w:rPr>
                <w:sz w:val="22"/>
                <w:szCs w:val="21"/>
                <w:u w:val="single"/>
              </w:rPr>
              <w:t xml:space="preserve"> </w:t>
            </w:r>
            <w:r>
              <w:rPr>
                <w:sz w:val="22"/>
                <w:szCs w:val="21"/>
              </w:rPr>
              <w:t>%</w:t>
            </w:r>
          </w:p>
          <w:p>
            <w:pPr>
              <w:snapToGrid w:val="0"/>
              <w:rPr>
                <w:szCs w:val="21"/>
              </w:rPr>
            </w:pPr>
            <w:r>
              <w:rPr>
                <w:sz w:val="22"/>
                <w:szCs w:val="21"/>
              </w:rPr>
              <w:t>质量保证金是否计付利息：</w:t>
            </w:r>
            <w:r>
              <w:rPr>
                <w:sz w:val="22"/>
                <w:szCs w:val="21"/>
                <w:u w:val="single"/>
              </w:rPr>
              <w:t xml:space="preserve"> 否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21</w:t>
            </w:r>
          </w:p>
        </w:tc>
        <w:tc>
          <w:tcPr>
            <w:tcW w:w="1135" w:type="dxa"/>
            <w:tcBorders>
              <w:tl2br w:val="nil"/>
              <w:tr2bl w:val="nil"/>
            </w:tcBorders>
            <w:vAlign w:val="center"/>
          </w:tcPr>
          <w:p>
            <w:pPr>
              <w:snapToGrid w:val="0"/>
              <w:jc w:val="center"/>
              <w:rPr>
                <w:szCs w:val="21"/>
              </w:rPr>
            </w:pPr>
            <w:r>
              <w:rPr>
                <w:sz w:val="22"/>
                <w:szCs w:val="21"/>
              </w:rPr>
              <w:t>17.5.1（1）</w:t>
            </w:r>
          </w:p>
        </w:tc>
        <w:tc>
          <w:tcPr>
            <w:tcW w:w="7376" w:type="dxa"/>
            <w:tcBorders>
              <w:tl2br w:val="nil"/>
              <w:tr2bl w:val="nil"/>
            </w:tcBorders>
            <w:vAlign w:val="center"/>
          </w:tcPr>
          <w:p>
            <w:pPr>
              <w:snapToGrid w:val="0"/>
              <w:rPr>
                <w:szCs w:val="21"/>
              </w:rPr>
            </w:pPr>
            <w:r>
              <w:rPr>
                <w:sz w:val="22"/>
                <w:szCs w:val="21"/>
              </w:rPr>
              <w:t>承包人向发包人提交交工付款申请单（包括相关证明材料）的份数：</w:t>
            </w:r>
            <w:r>
              <w:rPr>
                <w:sz w:val="22"/>
                <w:szCs w:val="21"/>
                <w:u w:val="single"/>
              </w:rPr>
              <w:t xml:space="preserve"> </w:t>
            </w:r>
            <w:r>
              <w:rPr>
                <w:rFonts w:hint="eastAsia"/>
                <w:sz w:val="22"/>
                <w:szCs w:val="21"/>
                <w:u w:val="single"/>
              </w:rPr>
              <w:t>2</w:t>
            </w:r>
            <w:r>
              <w:rPr>
                <w:sz w:val="22"/>
                <w:szCs w:val="21"/>
                <w:u w:val="single"/>
              </w:rPr>
              <w:t xml:space="preserve"> </w:t>
            </w:r>
            <w:r>
              <w:rPr>
                <w:sz w:val="22"/>
                <w:szCs w:val="21"/>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22</w:t>
            </w:r>
          </w:p>
        </w:tc>
        <w:tc>
          <w:tcPr>
            <w:tcW w:w="1135" w:type="dxa"/>
            <w:tcBorders>
              <w:tl2br w:val="nil"/>
              <w:tr2bl w:val="nil"/>
            </w:tcBorders>
            <w:vAlign w:val="center"/>
          </w:tcPr>
          <w:p>
            <w:pPr>
              <w:snapToGrid w:val="0"/>
              <w:jc w:val="center"/>
              <w:rPr>
                <w:szCs w:val="21"/>
              </w:rPr>
            </w:pPr>
            <w:r>
              <w:rPr>
                <w:sz w:val="22"/>
                <w:szCs w:val="21"/>
              </w:rPr>
              <w:t>17.6.1（1）</w:t>
            </w:r>
          </w:p>
        </w:tc>
        <w:tc>
          <w:tcPr>
            <w:tcW w:w="7376" w:type="dxa"/>
            <w:tcBorders>
              <w:tl2br w:val="nil"/>
              <w:tr2bl w:val="nil"/>
            </w:tcBorders>
            <w:vAlign w:val="center"/>
          </w:tcPr>
          <w:p>
            <w:pPr>
              <w:snapToGrid w:val="0"/>
              <w:rPr>
                <w:szCs w:val="21"/>
              </w:rPr>
            </w:pPr>
            <w:r>
              <w:rPr>
                <w:sz w:val="22"/>
                <w:szCs w:val="21"/>
              </w:rPr>
              <w:t>承包人向发包人提交最终结清申请单（包括相关证明材料）的份数：</w:t>
            </w:r>
            <w:r>
              <w:rPr>
                <w:sz w:val="22"/>
                <w:szCs w:val="21"/>
                <w:u w:val="single"/>
              </w:rPr>
              <w:t xml:space="preserve"> </w:t>
            </w:r>
            <w:r>
              <w:rPr>
                <w:rFonts w:hint="eastAsia"/>
                <w:sz w:val="22"/>
                <w:szCs w:val="21"/>
                <w:u w:val="single"/>
              </w:rPr>
              <w:t>2</w:t>
            </w:r>
            <w:r>
              <w:rPr>
                <w:sz w:val="22"/>
                <w:szCs w:val="21"/>
                <w:u w:val="single"/>
              </w:rPr>
              <w:t xml:space="preserve"> </w:t>
            </w:r>
            <w:r>
              <w:rPr>
                <w:sz w:val="22"/>
                <w:szCs w:val="21"/>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23</w:t>
            </w:r>
          </w:p>
        </w:tc>
        <w:tc>
          <w:tcPr>
            <w:tcW w:w="1135" w:type="dxa"/>
            <w:tcBorders>
              <w:tl2br w:val="nil"/>
              <w:tr2bl w:val="nil"/>
            </w:tcBorders>
            <w:vAlign w:val="center"/>
          </w:tcPr>
          <w:p>
            <w:pPr>
              <w:snapToGrid w:val="0"/>
              <w:jc w:val="center"/>
              <w:rPr>
                <w:szCs w:val="21"/>
              </w:rPr>
            </w:pPr>
            <w:r>
              <w:rPr>
                <w:sz w:val="22"/>
                <w:szCs w:val="21"/>
              </w:rPr>
              <w:t>18.2（2）</w:t>
            </w:r>
          </w:p>
        </w:tc>
        <w:tc>
          <w:tcPr>
            <w:tcW w:w="7376" w:type="dxa"/>
            <w:tcBorders>
              <w:tl2br w:val="nil"/>
              <w:tr2bl w:val="nil"/>
            </w:tcBorders>
            <w:vAlign w:val="center"/>
          </w:tcPr>
          <w:p>
            <w:pPr>
              <w:snapToGrid w:val="0"/>
              <w:rPr>
                <w:szCs w:val="21"/>
              </w:rPr>
            </w:pPr>
            <w:r>
              <w:rPr>
                <w:sz w:val="22"/>
              </w:rPr>
              <w:t>竣工资料的份数：</w:t>
            </w:r>
            <w:r>
              <w:rPr>
                <w:sz w:val="22"/>
                <w:u w:val="single"/>
              </w:rPr>
              <w:t xml:space="preserve"> </w:t>
            </w:r>
            <w:r>
              <w:rPr>
                <w:rFonts w:hint="eastAsia"/>
                <w:sz w:val="22"/>
                <w:u w:val="single"/>
              </w:rPr>
              <w:t>2</w:t>
            </w:r>
            <w:r>
              <w:rPr>
                <w:sz w:val="22"/>
                <w:u w:val="single"/>
              </w:rPr>
              <w:t xml:space="preserve">  </w:t>
            </w:r>
            <w:r>
              <w:rPr>
                <w:sz w:val="22"/>
              </w:rPr>
              <w:t>份，以及电子文档</w:t>
            </w:r>
            <w:r>
              <w:rPr>
                <w:sz w:val="22"/>
                <w:u w:val="single"/>
              </w:rPr>
              <w:t xml:space="preserve">  </w:t>
            </w:r>
            <w:r>
              <w:rPr>
                <w:rFonts w:hint="eastAsia"/>
                <w:sz w:val="22"/>
                <w:u w:val="single"/>
              </w:rPr>
              <w:t>1</w:t>
            </w:r>
            <w:r>
              <w:rPr>
                <w:sz w:val="22"/>
                <w:u w:val="single"/>
              </w:rPr>
              <w:t xml:space="preserve"> </w:t>
            </w:r>
            <w:r>
              <w:rPr>
                <w:sz w:val="22"/>
              </w:rPr>
              <w:t>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24</w:t>
            </w:r>
          </w:p>
        </w:tc>
        <w:tc>
          <w:tcPr>
            <w:tcW w:w="1135" w:type="dxa"/>
            <w:tcBorders>
              <w:tl2br w:val="nil"/>
              <w:tr2bl w:val="nil"/>
            </w:tcBorders>
            <w:vAlign w:val="center"/>
          </w:tcPr>
          <w:p>
            <w:pPr>
              <w:snapToGrid w:val="0"/>
              <w:jc w:val="center"/>
              <w:rPr>
                <w:szCs w:val="21"/>
              </w:rPr>
            </w:pPr>
            <w:r>
              <w:rPr>
                <w:sz w:val="22"/>
                <w:szCs w:val="21"/>
              </w:rPr>
              <w:t>18.5.1</w:t>
            </w:r>
          </w:p>
        </w:tc>
        <w:tc>
          <w:tcPr>
            <w:tcW w:w="7376" w:type="dxa"/>
            <w:tcBorders>
              <w:tl2br w:val="nil"/>
              <w:tr2bl w:val="nil"/>
            </w:tcBorders>
            <w:vAlign w:val="center"/>
          </w:tcPr>
          <w:p>
            <w:pPr>
              <w:rPr>
                <w:szCs w:val="21"/>
              </w:rPr>
            </w:pPr>
            <w:r>
              <w:rPr>
                <w:sz w:val="22"/>
                <w:szCs w:val="21"/>
              </w:rPr>
              <w:t>单位工程或工程设备是否需投入施工期运行：</w:t>
            </w:r>
            <w:r>
              <w:rPr>
                <w:sz w:val="22"/>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jc w:val="center"/>
              <w:rPr>
                <w:szCs w:val="21"/>
              </w:rPr>
            </w:pPr>
            <w:r>
              <w:rPr>
                <w:sz w:val="22"/>
                <w:szCs w:val="21"/>
              </w:rPr>
              <w:t>25</w:t>
            </w:r>
          </w:p>
        </w:tc>
        <w:tc>
          <w:tcPr>
            <w:tcW w:w="1135" w:type="dxa"/>
            <w:tcBorders>
              <w:tl2br w:val="nil"/>
              <w:tr2bl w:val="nil"/>
            </w:tcBorders>
            <w:vAlign w:val="center"/>
          </w:tcPr>
          <w:p>
            <w:pPr>
              <w:snapToGrid w:val="0"/>
              <w:jc w:val="center"/>
              <w:rPr>
                <w:szCs w:val="21"/>
              </w:rPr>
            </w:pPr>
            <w:r>
              <w:rPr>
                <w:sz w:val="22"/>
                <w:szCs w:val="21"/>
              </w:rPr>
              <w:t>18.6.1</w:t>
            </w:r>
          </w:p>
        </w:tc>
        <w:tc>
          <w:tcPr>
            <w:tcW w:w="7376" w:type="dxa"/>
            <w:tcBorders>
              <w:tl2br w:val="nil"/>
              <w:tr2bl w:val="nil"/>
            </w:tcBorders>
            <w:vAlign w:val="center"/>
          </w:tcPr>
          <w:p>
            <w:pPr>
              <w:rPr>
                <w:szCs w:val="21"/>
              </w:rPr>
            </w:pPr>
            <w:r>
              <w:rPr>
                <w:sz w:val="22"/>
                <w:szCs w:val="21"/>
              </w:rPr>
              <w:t>本工程及工程设备是否进行试运行：</w:t>
            </w:r>
            <w:r>
              <w:rPr>
                <w:sz w:val="22"/>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jc w:val="center"/>
              <w:rPr>
                <w:szCs w:val="21"/>
              </w:rPr>
            </w:pPr>
            <w:r>
              <w:rPr>
                <w:sz w:val="22"/>
                <w:szCs w:val="21"/>
              </w:rPr>
              <w:t>26</w:t>
            </w:r>
          </w:p>
        </w:tc>
        <w:tc>
          <w:tcPr>
            <w:tcW w:w="1135" w:type="dxa"/>
            <w:tcBorders>
              <w:tl2br w:val="nil"/>
              <w:tr2bl w:val="nil"/>
            </w:tcBorders>
            <w:vAlign w:val="center"/>
          </w:tcPr>
          <w:p>
            <w:pPr>
              <w:snapToGrid w:val="0"/>
              <w:jc w:val="center"/>
              <w:rPr>
                <w:szCs w:val="21"/>
              </w:rPr>
            </w:pPr>
            <w:r>
              <w:rPr>
                <w:sz w:val="22"/>
                <w:szCs w:val="21"/>
              </w:rPr>
              <w:t>19.7</w:t>
            </w:r>
          </w:p>
        </w:tc>
        <w:tc>
          <w:tcPr>
            <w:tcW w:w="7376" w:type="dxa"/>
            <w:tcBorders>
              <w:tl2br w:val="nil"/>
              <w:tr2bl w:val="nil"/>
            </w:tcBorders>
            <w:vAlign w:val="center"/>
          </w:tcPr>
          <w:p>
            <w:pPr>
              <w:spacing w:line="280" w:lineRule="exact"/>
              <w:rPr>
                <w:sz w:val="22"/>
                <w:szCs w:val="21"/>
              </w:rPr>
            </w:pPr>
            <w:r>
              <w:rPr>
                <w:sz w:val="22"/>
                <w:szCs w:val="21"/>
              </w:rPr>
              <w:t>保修期：</w:t>
            </w:r>
          </w:p>
          <w:p>
            <w:pPr>
              <w:spacing w:line="280" w:lineRule="exact"/>
              <w:rPr>
                <w:szCs w:val="21"/>
              </w:rPr>
            </w:pPr>
            <w:r>
              <w:rPr>
                <w:sz w:val="32"/>
                <w:szCs w:val="32"/>
              </w:rPr>
              <w:t>□</w:t>
            </w:r>
            <w:r>
              <w:rPr>
                <w:sz w:val="22"/>
                <w:szCs w:val="21"/>
              </w:rPr>
              <w:t>自实际交工日期起计算</w:t>
            </w:r>
            <w:r>
              <w:rPr>
                <w:sz w:val="22"/>
                <w:szCs w:val="21"/>
                <w:u w:val="single"/>
              </w:rPr>
              <w:t xml:space="preserve">    </w:t>
            </w:r>
            <w:r>
              <w:rPr>
                <w:rFonts w:hint="eastAsia"/>
                <w:sz w:val="22"/>
                <w:szCs w:val="21"/>
                <w:u w:val="single"/>
                <w:lang w:val="en-US" w:eastAsia="zh-CN"/>
              </w:rPr>
              <w:t>1</w:t>
            </w:r>
            <w:r>
              <w:rPr>
                <w:sz w:val="22"/>
                <w:szCs w:val="21"/>
                <w:u w:val="single"/>
              </w:rPr>
              <w:t xml:space="preserve">   </w:t>
            </w:r>
            <w:r>
              <w:rPr>
                <w:sz w:val="22"/>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jc w:val="center"/>
              <w:rPr>
                <w:szCs w:val="21"/>
              </w:rPr>
            </w:pPr>
            <w:r>
              <w:rPr>
                <w:sz w:val="22"/>
                <w:szCs w:val="21"/>
              </w:rPr>
              <w:t>27</w:t>
            </w:r>
          </w:p>
        </w:tc>
        <w:tc>
          <w:tcPr>
            <w:tcW w:w="1135" w:type="dxa"/>
            <w:tcBorders>
              <w:tl2br w:val="nil"/>
              <w:tr2bl w:val="nil"/>
            </w:tcBorders>
            <w:vAlign w:val="center"/>
          </w:tcPr>
          <w:p>
            <w:pPr>
              <w:snapToGrid w:val="0"/>
              <w:jc w:val="center"/>
              <w:rPr>
                <w:szCs w:val="21"/>
              </w:rPr>
            </w:pPr>
            <w:r>
              <w:rPr>
                <w:sz w:val="22"/>
                <w:szCs w:val="21"/>
              </w:rPr>
              <w:t>20.1</w:t>
            </w:r>
          </w:p>
        </w:tc>
        <w:tc>
          <w:tcPr>
            <w:tcW w:w="7376" w:type="dxa"/>
            <w:tcBorders>
              <w:tl2br w:val="nil"/>
              <w:tr2bl w:val="nil"/>
            </w:tcBorders>
            <w:vAlign w:val="center"/>
          </w:tcPr>
          <w:p>
            <w:pPr>
              <w:rPr>
                <w:szCs w:val="21"/>
              </w:rPr>
            </w:pPr>
            <w:r>
              <w:rPr>
                <w:sz w:val="22"/>
                <w:szCs w:val="21"/>
              </w:rPr>
              <w:t>由承包人和发包人联名投保，保险费由承包人承担并支付，费用包含在已标价工程量清单的子目单价或总额价中，不单独计量和支付。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28</w:t>
            </w:r>
          </w:p>
        </w:tc>
        <w:tc>
          <w:tcPr>
            <w:tcW w:w="1135" w:type="dxa"/>
            <w:tcBorders>
              <w:tl2br w:val="nil"/>
              <w:tr2bl w:val="nil"/>
            </w:tcBorders>
            <w:vAlign w:val="center"/>
          </w:tcPr>
          <w:p>
            <w:pPr>
              <w:jc w:val="center"/>
              <w:rPr>
                <w:szCs w:val="21"/>
              </w:rPr>
            </w:pPr>
            <w:r>
              <w:rPr>
                <w:sz w:val="22"/>
                <w:szCs w:val="21"/>
              </w:rPr>
              <w:t>20.3</w:t>
            </w:r>
          </w:p>
        </w:tc>
        <w:tc>
          <w:tcPr>
            <w:tcW w:w="7376" w:type="dxa"/>
            <w:tcBorders>
              <w:tl2br w:val="nil"/>
              <w:tr2bl w:val="nil"/>
            </w:tcBorders>
          </w:tcPr>
          <w:p>
            <w:pPr>
              <w:rPr>
                <w:sz w:val="22"/>
                <w:szCs w:val="21"/>
              </w:rPr>
            </w:pPr>
            <w:r>
              <w:rPr>
                <w:sz w:val="22"/>
              </w:rPr>
              <w:t>承包人职工的人身意外伤害险投保金额为（最低赔付限</w:t>
            </w:r>
            <w:r>
              <w:rPr>
                <w:sz w:val="22"/>
                <w:szCs w:val="21"/>
              </w:rPr>
              <w:t>额为不少于）</w:t>
            </w:r>
            <w:r>
              <w:rPr>
                <w:sz w:val="22"/>
                <w:szCs w:val="21"/>
                <w:u w:val="single"/>
              </w:rPr>
              <w:t>50</w:t>
            </w:r>
            <w:r>
              <w:rPr>
                <w:sz w:val="22"/>
                <w:szCs w:val="21"/>
              </w:rPr>
              <w:t>万元/人。</w:t>
            </w:r>
          </w:p>
          <w:p>
            <w:r>
              <w:rPr>
                <w:sz w:val="22"/>
                <w:szCs w:val="21"/>
              </w:rPr>
              <w:t>由承包人投保，保险费由承包人承担并支付，费用包含在已标价工程量清单的子目单价或总额价中，不单独计量和支付。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29</w:t>
            </w:r>
          </w:p>
        </w:tc>
        <w:tc>
          <w:tcPr>
            <w:tcW w:w="1135" w:type="dxa"/>
            <w:tcBorders>
              <w:tl2br w:val="nil"/>
              <w:tr2bl w:val="nil"/>
            </w:tcBorders>
            <w:vAlign w:val="center"/>
          </w:tcPr>
          <w:p>
            <w:pPr>
              <w:snapToGrid w:val="0"/>
              <w:jc w:val="center"/>
              <w:rPr>
                <w:szCs w:val="21"/>
              </w:rPr>
            </w:pPr>
            <w:r>
              <w:rPr>
                <w:sz w:val="22"/>
                <w:szCs w:val="21"/>
              </w:rPr>
              <w:t>20.4.2</w:t>
            </w:r>
          </w:p>
        </w:tc>
        <w:tc>
          <w:tcPr>
            <w:tcW w:w="7376" w:type="dxa"/>
            <w:tcBorders>
              <w:tl2br w:val="nil"/>
              <w:tr2bl w:val="nil"/>
            </w:tcBorders>
            <w:vAlign w:val="center"/>
          </w:tcPr>
          <w:p>
            <w:pPr>
              <w:snapToGrid w:val="0"/>
              <w:rPr>
                <w:sz w:val="22"/>
                <w:szCs w:val="21"/>
              </w:rPr>
            </w:pPr>
            <w:r>
              <w:rPr>
                <w:sz w:val="22"/>
                <w:szCs w:val="21"/>
              </w:rPr>
              <w:t>第三者责任险的最低投保金额：</w:t>
            </w:r>
            <w:r>
              <w:rPr>
                <w:sz w:val="22"/>
                <w:szCs w:val="21"/>
                <w:u w:val="single"/>
              </w:rPr>
              <w:t>100</w:t>
            </w:r>
            <w:r>
              <w:rPr>
                <w:sz w:val="22"/>
                <w:szCs w:val="21"/>
              </w:rPr>
              <w:t>万元，事故次数不限（不计免赔额）</w:t>
            </w:r>
          </w:p>
          <w:p>
            <w:pPr>
              <w:snapToGrid w:val="0"/>
              <w:rPr>
                <w:szCs w:val="21"/>
              </w:rPr>
            </w:pPr>
            <w:r>
              <w:rPr>
                <w:sz w:val="22"/>
                <w:szCs w:val="21"/>
              </w:rPr>
              <w:t>由承包人投保，保险费由承包人承担并支付，费用包含在已标价工程量清单的子目单价或总额价中，不单独计量和支付。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9" w:type="dxa"/>
            <w:tcBorders>
              <w:tl2br w:val="nil"/>
              <w:tr2bl w:val="nil"/>
            </w:tcBorders>
            <w:vAlign w:val="center"/>
          </w:tcPr>
          <w:p>
            <w:pPr>
              <w:snapToGrid w:val="0"/>
              <w:jc w:val="center"/>
              <w:rPr>
                <w:szCs w:val="21"/>
              </w:rPr>
            </w:pPr>
            <w:r>
              <w:rPr>
                <w:sz w:val="22"/>
                <w:szCs w:val="21"/>
              </w:rPr>
              <w:t>30</w:t>
            </w:r>
          </w:p>
        </w:tc>
        <w:tc>
          <w:tcPr>
            <w:tcW w:w="1135" w:type="dxa"/>
            <w:tcBorders>
              <w:tl2br w:val="nil"/>
              <w:tr2bl w:val="nil"/>
            </w:tcBorders>
            <w:vAlign w:val="center"/>
          </w:tcPr>
          <w:p>
            <w:pPr>
              <w:snapToGrid w:val="0"/>
              <w:jc w:val="center"/>
              <w:rPr>
                <w:szCs w:val="21"/>
              </w:rPr>
            </w:pPr>
            <w:r>
              <w:rPr>
                <w:sz w:val="22"/>
                <w:szCs w:val="21"/>
              </w:rPr>
              <w:t>24.1</w:t>
            </w:r>
          </w:p>
        </w:tc>
        <w:tc>
          <w:tcPr>
            <w:tcW w:w="7376" w:type="dxa"/>
            <w:tcBorders>
              <w:tl2br w:val="nil"/>
              <w:tr2bl w:val="nil"/>
            </w:tcBorders>
            <w:vAlign w:val="center"/>
          </w:tcPr>
          <w:p>
            <w:pPr>
              <w:rPr>
                <w:sz w:val="22"/>
                <w:szCs w:val="21"/>
              </w:rPr>
            </w:pPr>
            <w:r>
              <w:rPr>
                <w:sz w:val="22"/>
                <w:szCs w:val="21"/>
              </w:rPr>
              <w:t>争议的最终解决方式：仲裁</w:t>
            </w:r>
          </w:p>
          <w:p>
            <w:pPr>
              <w:pStyle w:val="46"/>
              <w:tabs>
                <w:tab w:val="left" w:pos="420"/>
              </w:tabs>
              <w:snapToGrid w:val="0"/>
              <w:rPr>
                <w:rFonts w:ascii="Times New Roman" w:hAnsi="Times New Roman"/>
                <w:sz w:val="21"/>
                <w:szCs w:val="21"/>
              </w:rPr>
            </w:pPr>
            <w:r>
              <w:rPr>
                <w:rFonts w:ascii="Times New Roman" w:hAnsi="Times New Roman"/>
                <w:sz w:val="22"/>
                <w:szCs w:val="21"/>
              </w:rPr>
              <w:t>仲裁委员会名称：</w:t>
            </w:r>
            <w:r>
              <w:rPr>
                <w:rFonts w:hint="eastAsia" w:ascii="Times New Roman" w:hAnsi="Times New Roman"/>
                <w:sz w:val="22"/>
                <w:szCs w:val="21"/>
                <w:u w:val="single"/>
                <w:lang w:eastAsia="zh-CN"/>
              </w:rPr>
              <w:t>宿州市</w:t>
            </w:r>
            <w:r>
              <w:rPr>
                <w:rFonts w:ascii="Times New Roman" w:hAnsi="Times New Roman"/>
                <w:sz w:val="22"/>
                <w:szCs w:val="21"/>
              </w:rPr>
              <w:t>仲裁委员会</w:t>
            </w:r>
          </w:p>
        </w:tc>
      </w:tr>
    </w:tbl>
    <w:p>
      <w:pPr>
        <w:spacing w:line="360" w:lineRule="auto"/>
        <w:rPr>
          <w:sz w:val="22"/>
        </w:rPr>
        <w:sectPr>
          <w:footerReference r:id="rId12" w:type="default"/>
          <w:footnotePr>
            <w:numFmt w:val="decimalEnclosedCircleChinese"/>
            <w:numRestart w:val="eachPage"/>
          </w:footnotePr>
          <w:pgSz w:w="11906" w:h="16838"/>
          <w:pgMar w:top="1417" w:right="1417" w:bottom="1417" w:left="1417" w:header="851" w:footer="992" w:gutter="0"/>
          <w:pgNumType w:fmt="numberInDash" w:start="1"/>
          <w:cols w:space="720" w:num="1"/>
          <w:docGrid w:type="lines" w:linePitch="312" w:charSpace="0"/>
        </w:sectPr>
      </w:pPr>
    </w:p>
    <w:p>
      <w:pPr>
        <w:pStyle w:val="46"/>
        <w:spacing w:after="120" w:line="300" w:lineRule="auto"/>
        <w:rPr>
          <w:rFonts w:ascii="Times New Roman" w:hAnsi="Times New Roman" w:eastAsia="黑体"/>
        </w:rPr>
      </w:pPr>
      <w:r>
        <w:rPr>
          <w:rFonts w:ascii="Times New Roman" w:hAnsi="Times New Roman" w:eastAsia="黑体"/>
          <w:sz w:val="22"/>
        </w:rPr>
        <w:t>1 一般约定</w:t>
      </w:r>
    </w:p>
    <w:p>
      <w:pPr>
        <w:spacing w:line="300" w:lineRule="auto"/>
        <w:ind w:firstLine="440" w:firstLineChars="200"/>
        <w:rPr>
          <w:sz w:val="22"/>
          <w:szCs w:val="21"/>
        </w:rPr>
      </w:pPr>
      <w:r>
        <w:rPr>
          <w:sz w:val="22"/>
          <w:szCs w:val="21"/>
        </w:rPr>
        <w:t>增加1.1.1.10条：本项目招标工程量清单数量仅为暂定工程量，不作为实际拆除和计量工程量的依据，实际拆除和计量工程量按照发包人现场下发的指令和经发包人验收合格的工程量进行结算</w:t>
      </w:r>
      <w:r>
        <w:rPr>
          <w:rFonts w:hint="eastAsia"/>
          <w:sz w:val="22"/>
          <w:szCs w:val="21"/>
        </w:rPr>
        <w:t>，安全生产费以实际发生工程量</w:t>
      </w:r>
      <w:r>
        <w:rPr>
          <w:rFonts w:hint="eastAsia"/>
          <w:sz w:val="22"/>
          <w:szCs w:val="21"/>
          <w:lang w:val="en-US" w:eastAsia="zh-CN"/>
        </w:rPr>
        <w:t>3</w:t>
      </w:r>
      <w:r>
        <w:rPr>
          <w:rFonts w:hint="eastAsia"/>
          <w:sz w:val="22"/>
          <w:szCs w:val="21"/>
        </w:rPr>
        <w:t>%计取进行结算</w:t>
      </w:r>
      <w:r>
        <w:rPr>
          <w:sz w:val="22"/>
          <w:szCs w:val="21"/>
        </w:rPr>
        <w:t>。</w:t>
      </w:r>
    </w:p>
    <w:p>
      <w:pPr>
        <w:spacing w:line="300" w:lineRule="auto"/>
        <w:ind w:firstLine="440" w:firstLineChars="200"/>
        <w:rPr>
          <w:sz w:val="22"/>
          <w:szCs w:val="21"/>
        </w:rPr>
      </w:pPr>
      <w:r>
        <w:rPr>
          <w:sz w:val="22"/>
          <w:szCs w:val="21"/>
        </w:rPr>
        <w:t>1.1.2.2细化为：</w:t>
      </w:r>
    </w:p>
    <w:p>
      <w:pPr>
        <w:spacing w:line="300" w:lineRule="auto"/>
        <w:ind w:firstLine="440" w:firstLineChars="200"/>
        <w:rPr>
          <w:sz w:val="22"/>
          <w:szCs w:val="21"/>
        </w:rPr>
      </w:pPr>
      <w:r>
        <w:rPr>
          <w:sz w:val="22"/>
        </w:rPr>
        <w:t>承包人进场后管理单位将根据</w:t>
      </w:r>
      <w:r>
        <w:rPr>
          <w:rFonts w:hint="eastAsia"/>
          <w:sz w:val="22"/>
        </w:rPr>
        <w:t>项目</w:t>
      </w:r>
      <w:r>
        <w:rPr>
          <w:sz w:val="22"/>
        </w:rPr>
        <w:t>实际特点制定</w:t>
      </w:r>
      <w:r>
        <w:rPr>
          <w:rFonts w:hint="eastAsia"/>
          <w:sz w:val="22"/>
        </w:rPr>
        <w:t>工程</w:t>
      </w:r>
      <w:r>
        <w:rPr>
          <w:sz w:val="22"/>
        </w:rPr>
        <w:t>考评办法及考评细则，在经过承包人认可后作为发包人对承包人合同履约管理考评的依据。</w:t>
      </w:r>
    </w:p>
    <w:p>
      <w:pPr>
        <w:spacing w:line="300" w:lineRule="auto"/>
        <w:ind w:firstLine="440" w:firstLineChars="200"/>
        <w:rPr>
          <w:sz w:val="22"/>
          <w:szCs w:val="21"/>
        </w:rPr>
      </w:pPr>
      <w:r>
        <w:rPr>
          <w:sz w:val="22"/>
          <w:szCs w:val="21"/>
        </w:rPr>
        <w:t>1. 1.4 日期</w:t>
      </w:r>
    </w:p>
    <w:p>
      <w:pPr>
        <w:spacing w:line="300" w:lineRule="auto"/>
        <w:ind w:firstLine="440" w:firstLineChars="200"/>
        <w:rPr>
          <w:sz w:val="22"/>
        </w:rPr>
      </w:pPr>
      <w:r>
        <w:rPr>
          <w:sz w:val="22"/>
          <w:szCs w:val="21"/>
        </w:rPr>
        <w:t>1.1.4.3如承包人在合同执行期间出现以下情况之一，发包人有权提前终止合同，由此造成的一切损失由承包人承担：</w:t>
      </w:r>
    </w:p>
    <w:p>
      <w:pPr>
        <w:spacing w:line="300" w:lineRule="auto"/>
        <w:ind w:firstLine="440" w:firstLineChars="200"/>
        <w:rPr>
          <w:rFonts w:eastAsia="Tahoma"/>
          <w:kern w:val="0"/>
          <w:sz w:val="22"/>
          <w:szCs w:val="21"/>
        </w:rPr>
      </w:pPr>
      <w:r>
        <w:rPr>
          <w:rFonts w:eastAsia="Tahoma"/>
          <w:kern w:val="0"/>
          <w:sz w:val="22"/>
          <w:szCs w:val="21"/>
        </w:rPr>
        <w:t>1</w:t>
      </w:r>
      <w:r>
        <w:rPr>
          <w:kern w:val="0"/>
          <w:sz w:val="22"/>
          <w:szCs w:val="21"/>
        </w:rPr>
        <w:t>、承包人在报价和签订合同阶段提供虚假资料。</w:t>
      </w:r>
    </w:p>
    <w:p>
      <w:pPr>
        <w:spacing w:line="300" w:lineRule="auto"/>
        <w:ind w:firstLine="440" w:firstLineChars="200"/>
        <w:rPr>
          <w:rFonts w:eastAsia="Tahoma"/>
          <w:kern w:val="0"/>
          <w:sz w:val="22"/>
          <w:szCs w:val="21"/>
        </w:rPr>
      </w:pPr>
      <w:r>
        <w:rPr>
          <w:rFonts w:eastAsia="Tahoma"/>
          <w:kern w:val="0"/>
          <w:sz w:val="22"/>
          <w:szCs w:val="21"/>
        </w:rPr>
        <w:t>2</w:t>
      </w:r>
      <w:r>
        <w:rPr>
          <w:kern w:val="0"/>
          <w:sz w:val="22"/>
          <w:szCs w:val="21"/>
        </w:rPr>
        <w:t>、承包人在合同履行过程中拒绝实施合同内容或者部分拆除内容达不到时效性和质量要求。</w:t>
      </w:r>
    </w:p>
    <w:p>
      <w:pPr>
        <w:spacing w:line="300" w:lineRule="auto"/>
        <w:ind w:firstLine="440" w:firstLineChars="200"/>
        <w:rPr>
          <w:sz w:val="22"/>
          <w:szCs w:val="21"/>
        </w:rPr>
      </w:pPr>
      <w:r>
        <w:rPr>
          <w:sz w:val="22"/>
          <w:szCs w:val="21"/>
        </w:rPr>
        <w:t>3、因为承包人原因发生过一次（或多次）安全生产较大（及以上）事故或重大（及以上）道路交通责任事故。</w:t>
      </w:r>
    </w:p>
    <w:p>
      <w:pPr>
        <w:spacing w:line="300" w:lineRule="auto"/>
        <w:ind w:firstLine="440" w:firstLineChars="200"/>
        <w:rPr>
          <w:sz w:val="22"/>
          <w:szCs w:val="21"/>
        </w:rPr>
      </w:pPr>
      <w:r>
        <w:rPr>
          <w:sz w:val="22"/>
          <w:szCs w:val="21"/>
        </w:rPr>
        <w:t>4、发包人定期对承包人的履约行为组织月度检查考评，每</w:t>
      </w:r>
      <w:r>
        <w:rPr>
          <w:rFonts w:hint="eastAsia"/>
          <w:sz w:val="22"/>
          <w:szCs w:val="21"/>
        </w:rPr>
        <w:t>月</w:t>
      </w:r>
      <w:r>
        <w:rPr>
          <w:sz w:val="22"/>
          <w:szCs w:val="21"/>
        </w:rPr>
        <w:t>度汇总评价一次，</w:t>
      </w:r>
      <w:r>
        <w:rPr>
          <w:rFonts w:hint="eastAsia"/>
          <w:sz w:val="22"/>
          <w:szCs w:val="21"/>
        </w:rPr>
        <w:t>连续两个月</w:t>
      </w:r>
      <w:r>
        <w:rPr>
          <w:sz w:val="22"/>
          <w:szCs w:val="21"/>
        </w:rPr>
        <w:t>考评不合格。</w:t>
      </w:r>
    </w:p>
    <w:p>
      <w:pPr>
        <w:spacing w:line="300" w:lineRule="auto"/>
        <w:ind w:firstLine="440" w:firstLineChars="200"/>
        <w:rPr>
          <w:sz w:val="22"/>
          <w:szCs w:val="21"/>
        </w:rPr>
      </w:pPr>
      <w:r>
        <w:rPr>
          <w:sz w:val="22"/>
          <w:szCs w:val="21"/>
        </w:rPr>
        <w:t>5、发包人每年度对承包人进行履约信誉评价，评价结果经安徽省交通运输厅评价确认结果为C及以下的。</w:t>
      </w:r>
    </w:p>
    <w:p>
      <w:pPr>
        <w:spacing w:line="300" w:lineRule="auto"/>
        <w:ind w:firstLine="440" w:firstLineChars="200"/>
        <w:rPr>
          <w:rFonts w:eastAsia="Tahoma"/>
          <w:szCs w:val="21"/>
        </w:rPr>
      </w:pPr>
      <w:r>
        <w:rPr>
          <w:sz w:val="22"/>
          <w:szCs w:val="21"/>
        </w:rPr>
        <w:t>6、承包人在合同执行期间出现22.1条终止合同的违约行为。</w:t>
      </w:r>
    </w:p>
    <w:p>
      <w:pPr>
        <w:pStyle w:val="46"/>
        <w:spacing w:after="120" w:line="300" w:lineRule="auto"/>
        <w:ind w:left="420" w:leftChars="200"/>
        <w:rPr>
          <w:rFonts w:ascii="Times New Roman" w:hAnsi="Times New Roman" w:eastAsia="黑体"/>
        </w:rPr>
      </w:pPr>
      <w:r>
        <w:rPr>
          <w:rFonts w:ascii="Times New Roman" w:hAnsi="Times New Roman" w:eastAsia="黑体"/>
          <w:sz w:val="22"/>
        </w:rPr>
        <w:t>4.1 承包人的一般义务</w:t>
      </w:r>
    </w:p>
    <w:p>
      <w:pPr>
        <w:spacing w:line="300" w:lineRule="auto"/>
        <w:ind w:firstLine="440" w:firstLineChars="200"/>
        <w:rPr>
          <w:sz w:val="22"/>
          <w:szCs w:val="21"/>
        </w:rPr>
      </w:pPr>
      <w:r>
        <w:rPr>
          <w:sz w:val="22"/>
          <w:szCs w:val="21"/>
        </w:rPr>
        <w:t>4.1.10（4）细化为：</w:t>
      </w:r>
    </w:p>
    <w:p>
      <w:pPr>
        <w:spacing w:line="300" w:lineRule="auto"/>
        <w:ind w:firstLine="440" w:firstLineChars="200"/>
        <w:rPr>
          <w:sz w:val="22"/>
          <w:szCs w:val="21"/>
        </w:rPr>
      </w:pPr>
      <w:r>
        <w:rPr>
          <w:sz w:val="22"/>
          <w:szCs w:val="21"/>
        </w:rPr>
        <w:t>（4）承包人应由专职人员负责处理地方关系。当承包人遇到地方问题或与地方群众发生矛盾、纠纷时，首先应主动与地方政府取得联系，以求问题解决。</w:t>
      </w:r>
    </w:p>
    <w:p>
      <w:pPr>
        <w:spacing w:line="300" w:lineRule="auto"/>
        <w:ind w:firstLine="440" w:firstLineChars="200"/>
        <w:rPr>
          <w:sz w:val="22"/>
          <w:szCs w:val="21"/>
        </w:rPr>
      </w:pPr>
    </w:p>
    <w:p>
      <w:pPr>
        <w:spacing w:line="300" w:lineRule="auto"/>
        <w:ind w:firstLine="435"/>
        <w:rPr>
          <w:rFonts w:eastAsia="黑体"/>
          <w:sz w:val="22"/>
          <w:szCs w:val="21"/>
        </w:rPr>
      </w:pPr>
      <w:r>
        <w:rPr>
          <w:sz w:val="22"/>
          <w:szCs w:val="21"/>
        </w:rPr>
        <w:t xml:space="preserve">4.3 </w:t>
      </w:r>
      <w:r>
        <w:rPr>
          <w:rFonts w:eastAsia="黑体"/>
          <w:sz w:val="22"/>
          <w:szCs w:val="21"/>
        </w:rPr>
        <w:t>分包</w:t>
      </w:r>
    </w:p>
    <w:p>
      <w:pPr>
        <w:spacing w:line="300" w:lineRule="auto"/>
        <w:ind w:firstLine="435"/>
        <w:rPr>
          <w:sz w:val="22"/>
          <w:szCs w:val="21"/>
        </w:rPr>
      </w:pPr>
      <w:r>
        <w:rPr>
          <w:sz w:val="22"/>
          <w:szCs w:val="21"/>
        </w:rPr>
        <w:t>原文细化为：</w:t>
      </w:r>
    </w:p>
    <w:p>
      <w:pPr>
        <w:spacing w:line="300" w:lineRule="auto"/>
        <w:ind w:firstLine="440" w:firstLineChars="200"/>
        <w:rPr>
          <w:sz w:val="22"/>
          <w:szCs w:val="21"/>
        </w:rPr>
      </w:pPr>
      <w:r>
        <w:rPr>
          <w:sz w:val="22"/>
          <w:szCs w:val="21"/>
        </w:rPr>
        <w:t>本项目不允许分包。</w:t>
      </w:r>
    </w:p>
    <w:p>
      <w:pPr>
        <w:spacing w:line="300" w:lineRule="auto"/>
        <w:rPr>
          <w:sz w:val="22"/>
          <w:szCs w:val="21"/>
        </w:rPr>
      </w:pPr>
    </w:p>
    <w:p>
      <w:pPr>
        <w:spacing w:line="300" w:lineRule="auto"/>
        <w:ind w:firstLine="440" w:firstLineChars="200"/>
        <w:rPr>
          <w:rFonts w:eastAsia="黑体"/>
          <w:sz w:val="22"/>
          <w:szCs w:val="21"/>
        </w:rPr>
      </w:pPr>
      <w:r>
        <w:rPr>
          <w:sz w:val="22"/>
          <w:szCs w:val="21"/>
        </w:rPr>
        <w:t xml:space="preserve">4.8 </w:t>
      </w:r>
      <w:r>
        <w:rPr>
          <w:rFonts w:eastAsia="黑体"/>
          <w:sz w:val="22"/>
          <w:szCs w:val="21"/>
        </w:rPr>
        <w:t>保障承包人人员的合法权益</w:t>
      </w:r>
    </w:p>
    <w:p>
      <w:pPr>
        <w:spacing w:line="300" w:lineRule="auto"/>
        <w:ind w:firstLine="440" w:firstLineChars="200"/>
        <w:rPr>
          <w:sz w:val="22"/>
          <w:szCs w:val="21"/>
        </w:rPr>
      </w:pPr>
      <w:r>
        <w:rPr>
          <w:sz w:val="22"/>
          <w:szCs w:val="21"/>
        </w:rPr>
        <w:t>增加4.8.7</w:t>
      </w:r>
    </w:p>
    <w:p>
      <w:pPr>
        <w:spacing w:line="300" w:lineRule="auto"/>
        <w:ind w:firstLine="440" w:firstLineChars="200"/>
        <w:rPr>
          <w:sz w:val="22"/>
          <w:szCs w:val="21"/>
        </w:rPr>
      </w:pPr>
      <w:r>
        <w:rPr>
          <w:sz w:val="22"/>
          <w:szCs w:val="21"/>
        </w:rPr>
        <w:t>4.8.7 农民工工资的支付：</w:t>
      </w:r>
    </w:p>
    <w:p>
      <w:pPr>
        <w:spacing w:line="300" w:lineRule="auto"/>
        <w:ind w:firstLine="440" w:firstLineChars="200"/>
        <w:rPr>
          <w:sz w:val="22"/>
          <w:szCs w:val="21"/>
        </w:rPr>
      </w:pPr>
      <w:r>
        <w:rPr>
          <w:sz w:val="22"/>
          <w:szCs w:val="21"/>
        </w:rPr>
        <w:t>（1）承包人须遵照执行《安徽省高速公路建设农民工工资支付保障暂行办法》关于解决拖欠农民工工资的有关规定，不得拖欠农民工工资，发包人有权不定期对上述情况进行检查，发现有关问题将责令承包人限期改正，否则将终止支付，直至承包人改正为止；</w:t>
      </w:r>
    </w:p>
    <w:p>
      <w:pPr>
        <w:spacing w:line="300" w:lineRule="auto"/>
        <w:ind w:firstLine="440" w:firstLineChars="200"/>
        <w:rPr>
          <w:sz w:val="22"/>
          <w:szCs w:val="21"/>
        </w:rPr>
      </w:pPr>
      <w:r>
        <w:rPr>
          <w:sz w:val="22"/>
          <w:szCs w:val="21"/>
        </w:rPr>
        <w:t>（2）承包人应直接与所有劳务人员签订劳务合同，并在下达开工令后的14天内向发包人提供。发包人有权要求承包人提供拖欠农民工工资的详细、准确的清单，并加盖公章和法定代表人或其授权人签字，发包人有权从承包人的计量支付中扣除直接支付给上述拖欠的农民工工资；</w:t>
      </w:r>
    </w:p>
    <w:p>
      <w:pPr>
        <w:spacing w:line="300" w:lineRule="auto"/>
        <w:rPr>
          <w:sz w:val="22"/>
          <w:szCs w:val="21"/>
        </w:rPr>
      </w:pPr>
    </w:p>
    <w:p>
      <w:pPr>
        <w:spacing w:line="300" w:lineRule="auto"/>
        <w:ind w:firstLine="440" w:firstLineChars="200"/>
        <w:rPr>
          <w:sz w:val="22"/>
        </w:rPr>
      </w:pPr>
      <w:r>
        <w:rPr>
          <w:rFonts w:eastAsia="黑体"/>
          <w:sz w:val="22"/>
        </w:rPr>
        <w:t>5.1承包人提供的材料和工程设备</w:t>
      </w:r>
      <w:r>
        <w:rPr>
          <w:sz w:val="22"/>
          <w:szCs w:val="21"/>
        </w:rPr>
        <w:t>5.1.2文末增加为：</w:t>
      </w:r>
      <w:r>
        <w:rPr>
          <w:sz w:val="22"/>
        </w:rPr>
        <w:t>拆除材料由承包人自行采购、运输、贮存，其品种、规格、质量标准等应符合相关规范及发包人的要求，承包人应优先选用广泛应用于高速公路领域、品牌质量优良、信誉良好的产品，同时提供相关质量检验证明并经发包人批准同意后方可用于本项目。对于施工用到的主要材料如钢材、水泥、交安设施等材料均采取材料准入制度，发包人将根据承包人上报材料结合市场调查后公布准入品牌范围，只有准入品牌范围内的材料并经检测符合相关规定及发包人的要求方可用于本项目，任何材料的使用，均不能免除承包人对材料和工程质量所承担的责任。</w:t>
      </w:r>
    </w:p>
    <w:p>
      <w:pPr>
        <w:pStyle w:val="46"/>
        <w:spacing w:after="120" w:line="300" w:lineRule="auto"/>
        <w:ind w:left="420" w:leftChars="200"/>
        <w:rPr>
          <w:rFonts w:ascii="Times New Roman" w:hAnsi="Times New Roman" w:eastAsia="黑体"/>
        </w:rPr>
      </w:pPr>
      <w:r>
        <w:rPr>
          <w:rFonts w:ascii="Times New Roman" w:hAnsi="Times New Roman" w:eastAsia="黑体"/>
          <w:sz w:val="22"/>
        </w:rPr>
        <w:t>7.交通运输</w:t>
      </w:r>
    </w:p>
    <w:p>
      <w:pPr>
        <w:spacing w:line="300" w:lineRule="auto"/>
        <w:ind w:firstLine="440" w:firstLineChars="200"/>
        <w:rPr>
          <w:sz w:val="22"/>
          <w:szCs w:val="21"/>
        </w:rPr>
      </w:pPr>
      <w:r>
        <w:rPr>
          <w:sz w:val="22"/>
          <w:szCs w:val="21"/>
        </w:rPr>
        <w:t>7.1道路通行权和场外设施</w:t>
      </w:r>
    </w:p>
    <w:p>
      <w:pPr>
        <w:spacing w:line="300" w:lineRule="auto"/>
        <w:ind w:firstLine="440" w:firstLineChars="200"/>
        <w:rPr>
          <w:sz w:val="22"/>
          <w:szCs w:val="21"/>
        </w:rPr>
      </w:pPr>
      <w:r>
        <w:rPr>
          <w:sz w:val="22"/>
          <w:szCs w:val="21"/>
        </w:rPr>
        <w:t>细化为：承包人所有施工车辆道路通行费自行承担，其费用已包含在相关工程项目的费率和报价中，不再另行支付；报价人报价时充分考虑。</w:t>
      </w:r>
    </w:p>
    <w:p>
      <w:pPr>
        <w:spacing w:line="300" w:lineRule="auto"/>
        <w:ind w:firstLine="435"/>
        <w:rPr>
          <w:sz w:val="22"/>
          <w:szCs w:val="21"/>
        </w:rPr>
      </w:pPr>
      <w:r>
        <w:rPr>
          <w:sz w:val="22"/>
          <w:szCs w:val="21"/>
        </w:rPr>
        <w:t>增加7.3.3</w:t>
      </w:r>
    </w:p>
    <w:p>
      <w:pPr>
        <w:spacing w:line="300" w:lineRule="auto"/>
        <w:ind w:firstLine="440" w:firstLineChars="200"/>
        <w:rPr>
          <w:sz w:val="22"/>
        </w:rPr>
      </w:pPr>
      <w:r>
        <w:rPr>
          <w:sz w:val="22"/>
        </w:rPr>
        <w:t>7.3.3  承包人应在确保高速公路不中断交通的前提下合理安排施工组织计划，采取有效措施保证施工安全，并在必要时疏导现有交通流；凡是合同段内与其它施工发生相互干扰，承包人应做好与其它单位的协调工作。承包人应将其采取上述措施而可能发生的全部费用计入相关报价中，发包人将不另行支付。如因承包人采取的措施不力，影响高速公路正常安全运营，由此给发包人、其他单位或个人造成损失，或由上述原因造成工程工期的拖延或施工费用的增加，均由该承包人负责。</w:t>
      </w:r>
    </w:p>
    <w:p>
      <w:pPr>
        <w:pStyle w:val="46"/>
        <w:spacing w:after="120" w:line="300" w:lineRule="auto"/>
        <w:ind w:left="420" w:leftChars="200"/>
        <w:rPr>
          <w:rFonts w:ascii="Times New Roman" w:hAnsi="Times New Roman" w:eastAsia="黑体"/>
        </w:rPr>
      </w:pPr>
      <w:r>
        <w:rPr>
          <w:rFonts w:ascii="Times New Roman" w:hAnsi="Times New Roman" w:eastAsia="黑体"/>
          <w:sz w:val="22"/>
        </w:rPr>
        <w:t>9.2承包人的施工安全责任</w:t>
      </w:r>
    </w:p>
    <w:p>
      <w:pPr>
        <w:spacing w:line="300" w:lineRule="auto"/>
        <w:ind w:firstLine="440" w:firstLineChars="200"/>
        <w:rPr>
          <w:sz w:val="22"/>
          <w:szCs w:val="21"/>
        </w:rPr>
      </w:pPr>
      <w:r>
        <w:rPr>
          <w:sz w:val="22"/>
          <w:szCs w:val="21"/>
        </w:rPr>
        <w:t>第9.2.5项细化为：</w:t>
      </w:r>
    </w:p>
    <w:p>
      <w:pPr>
        <w:spacing w:line="300" w:lineRule="auto"/>
        <w:ind w:firstLine="440" w:firstLineChars="200"/>
        <w:rPr>
          <w:sz w:val="22"/>
          <w:szCs w:val="21"/>
        </w:rPr>
      </w:pPr>
      <w:r>
        <w:rPr>
          <w:sz w:val="22"/>
          <w:szCs w:val="21"/>
        </w:rPr>
        <w:t>安全生产费用按项目专用合同条款数据表中数据编列。安全生产费用应用于施工安全防护用具及设施的采购和更新、安全施工措施的落实、安全生产条件的改善，不得挪作他用。</w:t>
      </w:r>
    </w:p>
    <w:p>
      <w:pPr>
        <w:spacing w:line="300" w:lineRule="auto"/>
        <w:ind w:firstLine="440" w:firstLineChars="200"/>
        <w:rPr>
          <w:sz w:val="22"/>
        </w:rPr>
      </w:pPr>
      <w:r>
        <w:rPr>
          <w:sz w:val="22"/>
        </w:rPr>
        <w:t>承包人应遵守《中华人民共和国安全生产法》的同时，在工程实施全过程中还应执行交通部《公路水运工程安全生产监督管理办法》、《公路养</w:t>
      </w:r>
      <w:r>
        <w:rPr>
          <w:rFonts w:hint="eastAsia"/>
          <w:sz w:val="22"/>
        </w:rPr>
        <w:t xml:space="preserve"> </w:t>
      </w:r>
      <w:r>
        <w:rPr>
          <w:sz w:val="22"/>
        </w:rPr>
        <w:t>护安全作业规程》（JTG H30）、安徽省等有关规定指导安全、健康与环保卫生方面的法规和规范及发包人《高速公路养</w:t>
      </w:r>
      <w:r>
        <w:rPr>
          <w:rFonts w:hint="eastAsia"/>
          <w:sz w:val="22"/>
        </w:rPr>
        <w:t xml:space="preserve"> </w:t>
      </w:r>
      <w:r>
        <w:rPr>
          <w:sz w:val="22"/>
        </w:rPr>
        <w:t>护施工现场管理细则》等相关制度。在整个施工过程中，对承包人采取的安全、保卫和环境保护措施，发包人有权向承包人提出整改要求。如果承包人未能对其负责的上述事项采取各种必要的措施或所采取的措施不力而导致或发生与此有关的人身伤亡、罚款、索赔、损失补偿、仲裁、诉讼及其他一切责任和费用应由承包人负责，如导致发包人因此承担法律责任，则发包人将所赔付款项直接从承包人工程款中扣回。</w:t>
      </w:r>
    </w:p>
    <w:p>
      <w:pPr>
        <w:pStyle w:val="46"/>
        <w:spacing w:after="120" w:line="300" w:lineRule="auto"/>
        <w:ind w:left="420" w:leftChars="200"/>
        <w:rPr>
          <w:rFonts w:ascii="Times New Roman" w:hAnsi="Times New Roman" w:eastAsia="黑体"/>
        </w:rPr>
      </w:pPr>
      <w:r>
        <w:rPr>
          <w:rFonts w:ascii="Times New Roman" w:hAnsi="Times New Roman" w:eastAsia="黑体"/>
          <w:sz w:val="22"/>
        </w:rPr>
        <w:t>10.1 合同进度计划</w:t>
      </w:r>
    </w:p>
    <w:p>
      <w:pPr>
        <w:spacing w:line="300" w:lineRule="auto"/>
        <w:ind w:firstLine="440" w:firstLineChars="200"/>
        <w:rPr>
          <w:sz w:val="22"/>
        </w:rPr>
      </w:pPr>
      <w:r>
        <w:rPr>
          <w:sz w:val="22"/>
        </w:rPr>
        <w:t>承包人应在签订合同协议书后28天之内，向发包人提交2份根据工程内容编制的施工组织设计，其内容应包括详细的施工组织、现场布置、施工方案、计划安排、资源（劳工、机械设备、原材料）供应计划、质检体系与质保措施、安全体系与安全保证措施等，经发包人批准后实施，同时还应提交路况巡查、评价及维修记录等相关格式报表和紧急抢修预案。如承包人提交的施工预案、组织计划、报表和抢修预案等不符合发包人要求，应退回承包人修改完善，至符合要求为止。</w:t>
      </w:r>
    </w:p>
    <w:p>
      <w:pPr>
        <w:pStyle w:val="46"/>
        <w:spacing w:after="120" w:line="300" w:lineRule="auto"/>
        <w:ind w:left="420" w:leftChars="200"/>
        <w:rPr>
          <w:rFonts w:ascii="Times New Roman" w:hAnsi="Times New Roman" w:eastAsia="黑体"/>
        </w:rPr>
      </w:pPr>
      <w:r>
        <w:rPr>
          <w:rFonts w:ascii="Times New Roman" w:hAnsi="Times New Roman" w:eastAsia="黑体"/>
          <w:sz w:val="22"/>
        </w:rPr>
        <w:t>11.3发包人的工期延误</w:t>
      </w:r>
    </w:p>
    <w:p>
      <w:pPr>
        <w:spacing w:line="300" w:lineRule="auto"/>
        <w:ind w:firstLine="440" w:firstLineChars="200"/>
        <w:rPr>
          <w:sz w:val="22"/>
          <w:szCs w:val="21"/>
        </w:rPr>
      </w:pPr>
      <w:r>
        <w:rPr>
          <w:sz w:val="22"/>
          <w:szCs w:val="21"/>
        </w:rPr>
        <w:t>11.3（5）细化为：</w:t>
      </w:r>
    </w:p>
    <w:p>
      <w:pPr>
        <w:spacing w:line="300" w:lineRule="auto"/>
        <w:ind w:firstLine="440" w:firstLineChars="200"/>
        <w:rPr>
          <w:sz w:val="22"/>
          <w:szCs w:val="21"/>
        </w:rPr>
      </w:pPr>
      <w:r>
        <w:rPr>
          <w:sz w:val="22"/>
          <w:szCs w:val="21"/>
        </w:rPr>
        <w:t>（5）提供图纸延误，后续工程变更图纸除外。</w:t>
      </w:r>
    </w:p>
    <w:p>
      <w:pPr>
        <w:pStyle w:val="46"/>
        <w:spacing w:after="120" w:line="300" w:lineRule="auto"/>
        <w:ind w:left="420" w:leftChars="200"/>
        <w:rPr>
          <w:rFonts w:ascii="Times New Roman" w:hAnsi="Times New Roman" w:eastAsia="黑体"/>
        </w:rPr>
      </w:pPr>
      <w:r>
        <w:rPr>
          <w:rFonts w:ascii="Times New Roman" w:hAnsi="Times New Roman" w:eastAsia="黑体"/>
          <w:sz w:val="22"/>
        </w:rPr>
        <w:t>12.1承包人暂停施工的责任</w:t>
      </w:r>
    </w:p>
    <w:p>
      <w:pPr>
        <w:spacing w:line="300" w:lineRule="auto"/>
        <w:ind w:firstLine="550" w:firstLineChars="250"/>
        <w:rPr>
          <w:sz w:val="22"/>
          <w:szCs w:val="21"/>
        </w:rPr>
      </w:pPr>
      <w:r>
        <w:rPr>
          <w:sz w:val="22"/>
          <w:szCs w:val="21"/>
        </w:rPr>
        <w:t>本款第（6）项细化为：</w:t>
      </w:r>
    </w:p>
    <w:p>
      <w:pPr>
        <w:spacing w:line="300" w:lineRule="auto"/>
        <w:ind w:firstLine="440" w:firstLineChars="200"/>
        <w:rPr>
          <w:sz w:val="22"/>
          <w:szCs w:val="21"/>
        </w:rPr>
      </w:pPr>
      <w:r>
        <w:rPr>
          <w:sz w:val="22"/>
          <w:szCs w:val="21"/>
        </w:rPr>
        <w:t>（6）由于承包人未履行合同条款规定的职责引起的暂停施工。</w:t>
      </w:r>
    </w:p>
    <w:p>
      <w:pPr>
        <w:pStyle w:val="46"/>
        <w:spacing w:after="120" w:line="300" w:lineRule="auto"/>
        <w:ind w:left="420" w:leftChars="200"/>
        <w:rPr>
          <w:rFonts w:ascii="Times New Roman" w:hAnsi="Times New Roman" w:eastAsia="黑体"/>
        </w:rPr>
      </w:pPr>
      <w:r>
        <w:rPr>
          <w:rFonts w:ascii="Times New Roman" w:hAnsi="Times New Roman" w:eastAsia="黑体"/>
          <w:sz w:val="22"/>
        </w:rPr>
        <w:t>14.4试验和检验费用</w:t>
      </w:r>
    </w:p>
    <w:p>
      <w:pPr>
        <w:spacing w:line="300" w:lineRule="auto"/>
        <w:ind w:firstLine="442" w:firstLineChars="200"/>
        <w:rPr>
          <w:b/>
          <w:sz w:val="22"/>
          <w:szCs w:val="21"/>
        </w:rPr>
      </w:pPr>
      <w:r>
        <w:rPr>
          <w:b/>
          <w:sz w:val="22"/>
          <w:szCs w:val="21"/>
        </w:rPr>
        <w:t>增加14.4（4）</w:t>
      </w:r>
      <w:r>
        <w:rPr>
          <w:b/>
          <w:sz w:val="22"/>
        </w:rPr>
        <w:t>发包人如认为有必要时，可将拆除材料抽样委托给另一家有资质的单位检验，如检测结果合格，则检测费用由发包人承担，如检测结果不合格，费用由承包人承担。发包人的抽检工作并不免除承包人的自检工作，承包人应按规范要求对所用原材料进行自检工作，自检报告必须具有检测资质的试验检测机构出具，如果承包人自己的试验室不具备此条件，承包人也可委托具有检测资质的试验检测机构进行检测，出具检测报告报发包人审批，承包人原材料的自检费用由承包人自行承担，视为已包含在各相应细目的报价当中，发包人不再为此另行支付任何费用。</w:t>
      </w:r>
    </w:p>
    <w:p>
      <w:pPr>
        <w:pStyle w:val="46"/>
        <w:spacing w:after="120" w:line="300" w:lineRule="auto"/>
        <w:ind w:left="420" w:leftChars="200"/>
        <w:rPr>
          <w:rFonts w:ascii="Times New Roman" w:hAnsi="Times New Roman" w:eastAsia="黑体"/>
        </w:rPr>
      </w:pPr>
      <w:r>
        <w:rPr>
          <w:rFonts w:ascii="Times New Roman" w:hAnsi="Times New Roman" w:eastAsia="黑体"/>
          <w:sz w:val="22"/>
        </w:rPr>
        <w:t>15.3变更程序</w:t>
      </w:r>
    </w:p>
    <w:p>
      <w:pPr>
        <w:snapToGrid w:val="0"/>
        <w:spacing w:line="300" w:lineRule="auto"/>
        <w:rPr>
          <w:sz w:val="22"/>
          <w:szCs w:val="21"/>
        </w:rPr>
      </w:pPr>
      <w:r>
        <w:rPr>
          <w:sz w:val="22"/>
          <w:szCs w:val="21"/>
        </w:rPr>
        <w:t>本项细化为：</w:t>
      </w:r>
    </w:p>
    <w:p>
      <w:pPr>
        <w:widowControl/>
        <w:shd w:val="clear" w:color="auto" w:fill="FFFFFF"/>
        <w:spacing w:line="300" w:lineRule="auto"/>
        <w:ind w:firstLine="440" w:firstLineChars="200"/>
        <w:rPr>
          <w:rFonts w:eastAsia="Tahoma"/>
          <w:sz w:val="22"/>
          <w:shd w:val="clear" w:color="auto" w:fill="FFFFFF"/>
        </w:rPr>
      </w:pPr>
      <w:r>
        <w:rPr>
          <w:sz w:val="22"/>
          <w:shd w:val="clear" w:color="auto" w:fill="FFFFFF"/>
        </w:rPr>
        <w:t>有关工程变更申报程序及审批权限按照安徽省交通控股集团有限公司《高速公路大中修工程计量支付及变更管理暂行办法》相关规定执行。</w:t>
      </w:r>
    </w:p>
    <w:p>
      <w:pPr>
        <w:pStyle w:val="46"/>
        <w:spacing w:after="120" w:line="300" w:lineRule="auto"/>
        <w:ind w:left="420" w:leftChars="200"/>
        <w:rPr>
          <w:rFonts w:ascii="Times New Roman" w:hAnsi="Times New Roman" w:eastAsia="黑体"/>
        </w:rPr>
      </w:pPr>
      <w:r>
        <w:rPr>
          <w:rFonts w:ascii="Times New Roman" w:hAnsi="Times New Roman" w:eastAsia="黑体"/>
          <w:sz w:val="22"/>
        </w:rPr>
        <w:t>15.4变更的估价原则</w:t>
      </w:r>
    </w:p>
    <w:p>
      <w:pPr>
        <w:snapToGrid w:val="0"/>
        <w:spacing w:line="300" w:lineRule="auto"/>
        <w:ind w:firstLine="435"/>
        <w:rPr>
          <w:sz w:val="22"/>
          <w:szCs w:val="21"/>
        </w:rPr>
      </w:pPr>
      <w:r>
        <w:rPr>
          <w:sz w:val="22"/>
          <w:szCs w:val="21"/>
        </w:rPr>
        <w:t>本项细化为：</w:t>
      </w:r>
    </w:p>
    <w:p>
      <w:pPr>
        <w:adjustRightInd w:val="0"/>
        <w:snapToGrid w:val="0"/>
        <w:spacing w:line="300" w:lineRule="auto"/>
        <w:ind w:firstLine="440" w:firstLineChars="200"/>
        <w:rPr>
          <w:sz w:val="22"/>
          <w:szCs w:val="21"/>
        </w:rPr>
      </w:pPr>
      <w:r>
        <w:rPr>
          <w:sz w:val="22"/>
        </w:rPr>
        <w:t>有关变更估价的原则按照安徽省交通控股集团有限公司《高速公路大中修工程计量支付及变更管理暂行办法》相关规定执行。</w:t>
      </w:r>
    </w:p>
    <w:p>
      <w:pPr>
        <w:pStyle w:val="46"/>
        <w:spacing w:after="120" w:line="300" w:lineRule="auto"/>
        <w:ind w:left="420" w:leftChars="200"/>
        <w:rPr>
          <w:rFonts w:ascii="Times New Roman" w:hAnsi="Times New Roman" w:eastAsia="黑体"/>
        </w:rPr>
      </w:pPr>
      <w:r>
        <w:rPr>
          <w:rFonts w:ascii="Times New Roman" w:hAnsi="Times New Roman" w:eastAsia="黑体"/>
          <w:sz w:val="22"/>
        </w:rPr>
        <w:t>17.1.2 计量方法</w:t>
      </w:r>
    </w:p>
    <w:p>
      <w:pPr>
        <w:snapToGrid w:val="0"/>
        <w:spacing w:line="300" w:lineRule="auto"/>
        <w:ind w:firstLine="435"/>
        <w:rPr>
          <w:sz w:val="22"/>
          <w:szCs w:val="21"/>
        </w:rPr>
      </w:pPr>
      <w:r>
        <w:rPr>
          <w:sz w:val="22"/>
          <w:szCs w:val="21"/>
        </w:rPr>
        <w:t>本项细化为：</w:t>
      </w:r>
    </w:p>
    <w:p>
      <w:pPr>
        <w:adjustRightInd w:val="0"/>
        <w:snapToGrid w:val="0"/>
        <w:spacing w:line="300" w:lineRule="auto"/>
        <w:ind w:firstLine="440" w:firstLineChars="200"/>
        <w:rPr>
          <w:sz w:val="22"/>
          <w:szCs w:val="21"/>
        </w:rPr>
      </w:pPr>
      <w:r>
        <w:rPr>
          <w:sz w:val="22"/>
          <w:szCs w:val="21"/>
        </w:rPr>
        <w:t>本项目为拆除工程，工程量清单中所列工程量为暂定工程量，不作为实施和最终计量的依据，工程量清单中各细目按照本合同技术文件标准中的计量规则及</w:t>
      </w:r>
      <w:r>
        <w:rPr>
          <w:sz w:val="22"/>
        </w:rPr>
        <w:t>安徽省交通控股集团有限公司《高速公路大中修工程计量支付及变更管理暂行办法》相关</w:t>
      </w:r>
      <w:r>
        <w:rPr>
          <w:sz w:val="22"/>
          <w:szCs w:val="21"/>
        </w:rPr>
        <w:t>规定执行。</w:t>
      </w:r>
    </w:p>
    <w:p>
      <w:pPr>
        <w:pStyle w:val="46"/>
        <w:spacing w:after="120" w:line="300" w:lineRule="auto"/>
        <w:ind w:left="420" w:leftChars="200"/>
        <w:rPr>
          <w:rFonts w:ascii="Times New Roman" w:hAnsi="Times New Roman" w:eastAsia="黑体"/>
        </w:rPr>
      </w:pPr>
      <w:r>
        <w:rPr>
          <w:rFonts w:ascii="Times New Roman" w:hAnsi="Times New Roman" w:eastAsia="黑体"/>
          <w:sz w:val="22"/>
        </w:rPr>
        <w:t>17.1.3 计量周期</w:t>
      </w:r>
    </w:p>
    <w:p>
      <w:pPr>
        <w:snapToGrid w:val="0"/>
        <w:spacing w:line="300" w:lineRule="auto"/>
        <w:ind w:firstLine="435"/>
        <w:rPr>
          <w:sz w:val="22"/>
          <w:szCs w:val="21"/>
        </w:rPr>
      </w:pPr>
      <w:r>
        <w:rPr>
          <w:sz w:val="22"/>
          <w:szCs w:val="21"/>
        </w:rPr>
        <w:t>专用合同条款约定为：单价子目已完成工程量按季度计量。</w:t>
      </w:r>
    </w:p>
    <w:p>
      <w:pPr>
        <w:pStyle w:val="46"/>
        <w:spacing w:after="120" w:line="300" w:lineRule="auto"/>
        <w:ind w:left="420" w:leftChars="200"/>
        <w:rPr>
          <w:rFonts w:ascii="Times New Roman" w:hAnsi="Times New Roman" w:eastAsia="黑体"/>
        </w:rPr>
      </w:pPr>
      <w:r>
        <w:rPr>
          <w:rFonts w:ascii="Times New Roman" w:hAnsi="Times New Roman" w:eastAsia="黑体"/>
          <w:sz w:val="22"/>
        </w:rPr>
        <w:t>17.3 工程进度付款</w:t>
      </w:r>
    </w:p>
    <w:p>
      <w:pPr>
        <w:snapToGrid w:val="0"/>
        <w:spacing w:line="300" w:lineRule="auto"/>
        <w:ind w:firstLine="435"/>
        <w:rPr>
          <w:sz w:val="22"/>
          <w:szCs w:val="21"/>
        </w:rPr>
      </w:pPr>
      <w:r>
        <w:rPr>
          <w:sz w:val="22"/>
          <w:szCs w:val="21"/>
        </w:rPr>
        <w:t>17.3.3 进度付款证书和支付时间</w:t>
      </w:r>
    </w:p>
    <w:p>
      <w:pPr>
        <w:snapToGrid w:val="0"/>
        <w:spacing w:line="300" w:lineRule="auto"/>
        <w:ind w:firstLine="435"/>
        <w:rPr>
          <w:sz w:val="22"/>
          <w:szCs w:val="21"/>
        </w:rPr>
      </w:pPr>
      <w:r>
        <w:rPr>
          <w:sz w:val="22"/>
          <w:szCs w:val="21"/>
        </w:rPr>
        <w:t>本项（1）细化为：</w:t>
      </w:r>
    </w:p>
    <w:p>
      <w:pPr>
        <w:spacing w:line="300" w:lineRule="auto"/>
        <w:ind w:firstLine="440" w:firstLineChars="200"/>
        <w:rPr>
          <w:rFonts w:eastAsia="黑体"/>
          <w:sz w:val="22"/>
          <w:szCs w:val="21"/>
        </w:rPr>
      </w:pPr>
      <w:r>
        <w:rPr>
          <w:sz w:val="22"/>
          <w:szCs w:val="21"/>
        </w:rPr>
        <w:t>发包人在收到上述月结账后，按三个月统计汇总，在收到第三个月结账单后28天内签发（季度）期中支付证书，签发时应写明他认为应该到期结算的价款及需要扣留和扣回的款额并报发包人审批。</w:t>
      </w:r>
    </w:p>
    <w:p>
      <w:pPr>
        <w:pStyle w:val="46"/>
        <w:spacing w:after="120" w:line="300" w:lineRule="auto"/>
        <w:ind w:left="420" w:leftChars="200"/>
        <w:rPr>
          <w:rFonts w:ascii="Times New Roman" w:hAnsi="Times New Roman" w:eastAsia="黑体"/>
        </w:rPr>
      </w:pPr>
      <w:r>
        <w:rPr>
          <w:rFonts w:ascii="Times New Roman" w:hAnsi="Times New Roman" w:eastAsia="黑体"/>
          <w:sz w:val="22"/>
        </w:rPr>
        <w:t>17.4 质量保证金</w:t>
      </w:r>
    </w:p>
    <w:p>
      <w:pPr>
        <w:snapToGrid w:val="0"/>
        <w:spacing w:line="300" w:lineRule="auto"/>
        <w:ind w:firstLine="435"/>
        <w:rPr>
          <w:sz w:val="22"/>
          <w:szCs w:val="21"/>
        </w:rPr>
      </w:pPr>
      <w:r>
        <w:rPr>
          <w:sz w:val="22"/>
          <w:szCs w:val="21"/>
        </w:rPr>
        <w:t>17.4.1质量保证金的退还</w:t>
      </w:r>
    </w:p>
    <w:p>
      <w:pPr>
        <w:snapToGrid w:val="0"/>
        <w:spacing w:line="300" w:lineRule="auto"/>
        <w:ind w:firstLine="435"/>
        <w:rPr>
          <w:sz w:val="22"/>
          <w:szCs w:val="21"/>
        </w:rPr>
      </w:pPr>
      <w:r>
        <w:rPr>
          <w:sz w:val="22"/>
          <w:szCs w:val="21"/>
        </w:rPr>
        <w:t>本项细化为：</w:t>
      </w:r>
    </w:p>
    <w:p>
      <w:pPr>
        <w:spacing w:line="300" w:lineRule="auto"/>
        <w:ind w:firstLine="440" w:firstLineChars="200"/>
        <w:rPr>
          <w:sz w:val="22"/>
        </w:rPr>
      </w:pPr>
      <w:r>
        <w:rPr>
          <w:sz w:val="22"/>
          <w:szCs w:val="21"/>
        </w:rPr>
        <w:t>质量保证金</w:t>
      </w:r>
      <w:r>
        <w:rPr>
          <w:sz w:val="22"/>
        </w:rPr>
        <w:t>的退还应符合以下条件：</w:t>
      </w:r>
    </w:p>
    <w:p>
      <w:pPr>
        <w:spacing w:line="300" w:lineRule="auto"/>
        <w:ind w:firstLine="440" w:firstLineChars="200"/>
        <w:rPr>
          <w:sz w:val="22"/>
        </w:rPr>
      </w:pPr>
      <w:r>
        <w:rPr>
          <w:sz w:val="22"/>
        </w:rPr>
        <w:t>（1）安徽省交通控股集团有限公司组织年度审计完成；</w:t>
      </w:r>
    </w:p>
    <w:p>
      <w:pPr>
        <w:spacing w:line="300" w:lineRule="auto"/>
        <w:ind w:firstLine="440" w:firstLineChars="200"/>
        <w:rPr>
          <w:sz w:val="22"/>
        </w:rPr>
      </w:pPr>
      <w:r>
        <w:rPr>
          <w:sz w:val="22"/>
        </w:rPr>
        <w:t xml:space="preserve">（2）一年缺陷责任期满； </w:t>
      </w:r>
    </w:p>
    <w:p>
      <w:pPr>
        <w:spacing w:line="300" w:lineRule="auto"/>
        <w:ind w:firstLine="440" w:firstLineChars="200"/>
        <w:rPr>
          <w:sz w:val="22"/>
        </w:rPr>
      </w:pPr>
      <w:r>
        <w:rPr>
          <w:sz w:val="22"/>
        </w:rPr>
        <w:t>（3）</w:t>
      </w:r>
      <w:r>
        <w:rPr>
          <w:rFonts w:hint="eastAsia"/>
          <w:sz w:val="22"/>
        </w:rPr>
        <w:t>拆除</w:t>
      </w:r>
      <w:r>
        <w:rPr>
          <w:sz w:val="22"/>
        </w:rPr>
        <w:t>工程存在的所有质量问题已按发包人要求整改完毕，所有实体工程经发包人验收合格；</w:t>
      </w:r>
    </w:p>
    <w:p>
      <w:pPr>
        <w:pStyle w:val="46"/>
        <w:spacing w:after="120" w:line="300" w:lineRule="auto"/>
        <w:ind w:left="420" w:leftChars="200"/>
        <w:rPr>
          <w:rFonts w:ascii="Times New Roman" w:hAnsi="Times New Roman" w:eastAsia="黑体"/>
        </w:rPr>
      </w:pPr>
      <w:r>
        <w:rPr>
          <w:rFonts w:ascii="Times New Roman" w:hAnsi="Times New Roman" w:eastAsia="黑体"/>
          <w:sz w:val="22"/>
        </w:rPr>
        <w:t>20.3 人身意外伤害险</w:t>
      </w:r>
    </w:p>
    <w:p>
      <w:pPr>
        <w:spacing w:line="300" w:lineRule="auto"/>
        <w:ind w:firstLine="440" w:firstLineChars="200"/>
        <w:rPr>
          <w:sz w:val="22"/>
          <w:szCs w:val="21"/>
        </w:rPr>
      </w:pPr>
      <w:r>
        <w:rPr>
          <w:sz w:val="22"/>
          <w:szCs w:val="21"/>
        </w:rPr>
        <w:t>文末增加20.3.3款</w:t>
      </w:r>
    </w:p>
    <w:p>
      <w:pPr>
        <w:tabs>
          <w:tab w:val="left" w:pos="360"/>
        </w:tabs>
        <w:adjustRightInd w:val="0"/>
        <w:snapToGrid w:val="0"/>
        <w:spacing w:line="300" w:lineRule="auto"/>
        <w:ind w:firstLine="440" w:firstLineChars="200"/>
        <w:rPr>
          <w:b/>
          <w:sz w:val="22"/>
        </w:rPr>
      </w:pPr>
      <w:r>
        <w:rPr>
          <w:sz w:val="22"/>
          <w:szCs w:val="21"/>
        </w:rPr>
        <w:t>20.3.3</w:t>
      </w:r>
      <w:r>
        <w:rPr>
          <w:bCs/>
          <w:sz w:val="22"/>
        </w:rPr>
        <w:t>承包人应负责其雇员的人身安全，并应按合同条款的规定为其投保人身意外伤害险，最高保险赔额每人不低于人民币50万元。</w:t>
      </w:r>
    </w:p>
    <w:p>
      <w:pPr>
        <w:pStyle w:val="46"/>
        <w:spacing w:after="120" w:line="300" w:lineRule="auto"/>
        <w:ind w:left="420" w:leftChars="200"/>
        <w:rPr>
          <w:rFonts w:ascii="Times New Roman" w:hAnsi="Times New Roman" w:eastAsia="黑体"/>
        </w:rPr>
      </w:pPr>
      <w:r>
        <w:rPr>
          <w:rFonts w:ascii="Times New Roman" w:hAnsi="Times New Roman" w:eastAsia="黑体"/>
          <w:sz w:val="22"/>
        </w:rPr>
        <w:t>22.1 承包人违约</w:t>
      </w:r>
    </w:p>
    <w:p>
      <w:pPr>
        <w:spacing w:line="300" w:lineRule="auto"/>
        <w:ind w:firstLine="440" w:firstLineChars="200"/>
        <w:rPr>
          <w:sz w:val="22"/>
          <w:szCs w:val="21"/>
        </w:rPr>
      </w:pPr>
      <w:r>
        <w:rPr>
          <w:sz w:val="22"/>
          <w:szCs w:val="21"/>
        </w:rPr>
        <w:t>22.1.1 （10）细化为：</w:t>
      </w:r>
    </w:p>
    <w:p>
      <w:pPr>
        <w:spacing w:line="300" w:lineRule="auto"/>
        <w:ind w:firstLine="440" w:firstLineChars="200"/>
        <w:rPr>
          <w:sz w:val="22"/>
          <w:szCs w:val="21"/>
        </w:rPr>
      </w:pPr>
      <w:r>
        <w:rPr>
          <w:sz w:val="22"/>
          <w:szCs w:val="21"/>
        </w:rPr>
        <w:t>a．承包人在报价或签订合同阶段提供虚假资料；</w:t>
      </w:r>
    </w:p>
    <w:p>
      <w:pPr>
        <w:spacing w:line="300" w:lineRule="auto"/>
        <w:ind w:firstLine="440" w:firstLineChars="200"/>
        <w:rPr>
          <w:sz w:val="22"/>
          <w:szCs w:val="21"/>
        </w:rPr>
      </w:pPr>
      <w:r>
        <w:rPr>
          <w:sz w:val="22"/>
          <w:szCs w:val="21"/>
        </w:rPr>
        <w:t>b．未经发包人批准，项目经理、项目总工擅自离开工地现场；</w:t>
      </w:r>
    </w:p>
    <w:p>
      <w:pPr>
        <w:spacing w:line="300" w:lineRule="auto"/>
        <w:ind w:firstLine="440" w:firstLineChars="200"/>
        <w:rPr>
          <w:sz w:val="22"/>
          <w:szCs w:val="21"/>
        </w:rPr>
      </w:pPr>
      <w:r>
        <w:rPr>
          <w:sz w:val="22"/>
          <w:szCs w:val="21"/>
        </w:rPr>
        <w:t>c．在各种报表、检查记录及检测、试验数据中作假；</w:t>
      </w:r>
    </w:p>
    <w:p>
      <w:pPr>
        <w:spacing w:line="300" w:lineRule="auto"/>
        <w:ind w:firstLine="440" w:firstLineChars="200"/>
        <w:rPr>
          <w:sz w:val="22"/>
          <w:szCs w:val="21"/>
        </w:rPr>
      </w:pPr>
      <w:r>
        <w:rPr>
          <w:sz w:val="22"/>
          <w:szCs w:val="21"/>
        </w:rPr>
        <w:t>d．对高速公路设施造成损坏或污染；</w:t>
      </w:r>
    </w:p>
    <w:p>
      <w:pPr>
        <w:spacing w:line="300" w:lineRule="auto"/>
        <w:ind w:firstLine="440" w:firstLineChars="200"/>
        <w:rPr>
          <w:sz w:val="22"/>
          <w:szCs w:val="21"/>
        </w:rPr>
      </w:pPr>
      <w:r>
        <w:rPr>
          <w:sz w:val="22"/>
          <w:szCs w:val="21"/>
        </w:rPr>
        <w:t>e．一贯或公然忽视履行其合同规定的义务，无视发包人事先的书面警告；</w:t>
      </w:r>
    </w:p>
    <w:p>
      <w:pPr>
        <w:spacing w:line="300" w:lineRule="auto"/>
        <w:ind w:firstLine="440" w:firstLineChars="200"/>
        <w:rPr>
          <w:sz w:val="22"/>
          <w:szCs w:val="21"/>
        </w:rPr>
      </w:pPr>
      <w:r>
        <w:rPr>
          <w:sz w:val="22"/>
          <w:szCs w:val="21"/>
        </w:rPr>
        <w:t>f．拆除工程的实施不能满足发包人时效性要求；</w:t>
      </w:r>
    </w:p>
    <w:p>
      <w:pPr>
        <w:spacing w:line="300" w:lineRule="auto"/>
        <w:ind w:firstLine="440" w:firstLineChars="200"/>
        <w:rPr>
          <w:sz w:val="22"/>
          <w:szCs w:val="21"/>
        </w:rPr>
      </w:pPr>
      <w:r>
        <w:rPr>
          <w:sz w:val="22"/>
          <w:szCs w:val="21"/>
        </w:rPr>
        <w:t>g．在拆除施工过程及缺陷期内，由于承包人责任出现质量问题、安全事故或其它问题；</w:t>
      </w:r>
    </w:p>
    <w:p>
      <w:pPr>
        <w:spacing w:line="300" w:lineRule="auto"/>
        <w:ind w:firstLine="440" w:firstLineChars="200"/>
        <w:rPr>
          <w:sz w:val="22"/>
          <w:szCs w:val="21"/>
        </w:rPr>
      </w:pPr>
      <w:r>
        <w:rPr>
          <w:sz w:val="22"/>
          <w:szCs w:val="21"/>
        </w:rPr>
        <w:t>h．在拆除合同执行期间，承包人在计量、变更中弄虚作假；</w:t>
      </w:r>
    </w:p>
    <w:p>
      <w:pPr>
        <w:spacing w:line="300" w:lineRule="auto"/>
        <w:ind w:firstLine="440" w:firstLineChars="200"/>
        <w:rPr>
          <w:sz w:val="22"/>
          <w:szCs w:val="21"/>
        </w:rPr>
      </w:pPr>
      <w:r>
        <w:rPr>
          <w:sz w:val="22"/>
          <w:szCs w:val="21"/>
        </w:rPr>
        <w:t>i．</w:t>
      </w:r>
      <w:r>
        <w:rPr>
          <w:rFonts w:hint="eastAsia"/>
          <w:sz w:val="22"/>
          <w:szCs w:val="21"/>
        </w:rPr>
        <w:t>未按照规范及设计文件要求，</w:t>
      </w:r>
      <w:r>
        <w:rPr>
          <w:sz w:val="22"/>
          <w:szCs w:val="21"/>
        </w:rPr>
        <w:t>引发各类安全责任事故的。</w:t>
      </w:r>
    </w:p>
    <w:p>
      <w:pPr>
        <w:spacing w:line="300" w:lineRule="auto"/>
        <w:ind w:firstLine="440" w:firstLineChars="200"/>
        <w:rPr>
          <w:szCs w:val="21"/>
        </w:rPr>
      </w:pPr>
      <w:r>
        <w:rPr>
          <w:sz w:val="22"/>
          <w:szCs w:val="21"/>
        </w:rPr>
        <w:t>22.1.2 当承包人发生第22.1.1项约定的违约情况时，发包人有权向承包人课以违约金，具体约定如下：</w:t>
      </w:r>
    </w:p>
    <w:tbl>
      <w:tblPr>
        <w:tblStyle w:val="52"/>
        <w:tblW w:w="962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1"/>
        <w:gridCol w:w="4530"/>
        <w:gridCol w:w="40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blHeader/>
          <w:jc w:val="center"/>
        </w:trPr>
        <w:tc>
          <w:tcPr>
            <w:tcW w:w="1091" w:type="dxa"/>
            <w:tcBorders>
              <w:top w:val="single" w:color="auto" w:sz="12" w:space="0"/>
              <w:left w:val="single" w:color="auto" w:sz="12" w:space="0"/>
              <w:bottom w:val="single" w:color="auto" w:sz="6" w:space="0"/>
              <w:right w:val="single" w:color="auto" w:sz="6" w:space="0"/>
            </w:tcBorders>
            <w:vAlign w:val="center"/>
          </w:tcPr>
          <w:p>
            <w:pPr>
              <w:pStyle w:val="46"/>
              <w:snapToGrid w:val="0"/>
              <w:jc w:val="center"/>
              <w:rPr>
                <w:rFonts w:ascii="Times New Roman" w:hAnsi="Times New Roman"/>
                <w:b/>
                <w:spacing w:val="-6"/>
              </w:rPr>
            </w:pPr>
            <w:r>
              <w:rPr>
                <w:rFonts w:ascii="Times New Roman" w:hAnsi="Times New Roman"/>
                <w:b/>
                <w:snapToGrid w:val="0"/>
                <w:spacing w:val="-6"/>
                <w:sz w:val="22"/>
              </w:rPr>
              <w:t>条款号</w:t>
            </w:r>
          </w:p>
        </w:tc>
        <w:tc>
          <w:tcPr>
            <w:tcW w:w="4530" w:type="dxa"/>
            <w:tcBorders>
              <w:top w:val="single" w:color="auto" w:sz="12" w:space="0"/>
              <w:left w:val="single" w:color="auto" w:sz="6" w:space="0"/>
              <w:bottom w:val="single" w:color="auto" w:sz="6" w:space="0"/>
              <w:right w:val="single" w:color="auto" w:sz="6" w:space="0"/>
            </w:tcBorders>
            <w:vAlign w:val="center"/>
          </w:tcPr>
          <w:p>
            <w:pPr>
              <w:pStyle w:val="46"/>
              <w:snapToGrid w:val="0"/>
              <w:jc w:val="center"/>
              <w:rPr>
                <w:rFonts w:ascii="Times New Roman" w:hAnsi="Times New Roman"/>
                <w:b/>
                <w:spacing w:val="-6"/>
              </w:rPr>
            </w:pPr>
            <w:r>
              <w:rPr>
                <w:rFonts w:ascii="Times New Roman" w:hAnsi="Times New Roman"/>
                <w:b/>
                <w:snapToGrid w:val="0"/>
                <w:spacing w:val="-6"/>
                <w:sz w:val="22"/>
              </w:rPr>
              <w:t>违约行为</w:t>
            </w:r>
          </w:p>
        </w:tc>
        <w:tc>
          <w:tcPr>
            <w:tcW w:w="4008" w:type="dxa"/>
            <w:tcBorders>
              <w:top w:val="single" w:color="auto" w:sz="12" w:space="0"/>
              <w:left w:val="single" w:color="auto" w:sz="6" w:space="0"/>
              <w:bottom w:val="single" w:color="auto" w:sz="6" w:space="0"/>
              <w:right w:val="single" w:color="auto" w:sz="12" w:space="0"/>
            </w:tcBorders>
            <w:vAlign w:val="center"/>
          </w:tcPr>
          <w:p>
            <w:pPr>
              <w:pStyle w:val="46"/>
              <w:snapToGrid w:val="0"/>
              <w:jc w:val="center"/>
              <w:rPr>
                <w:rFonts w:ascii="Times New Roman" w:hAnsi="Times New Roman"/>
                <w:b/>
                <w:spacing w:val="-6"/>
              </w:rPr>
            </w:pPr>
            <w:r>
              <w:rPr>
                <w:rFonts w:ascii="Times New Roman" w:hAnsi="Times New Roman"/>
                <w:b/>
                <w:snapToGrid w:val="0"/>
                <w:spacing w:val="-6"/>
                <w:sz w:val="22"/>
              </w:rPr>
              <w:t>违约责任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tcBorders>
              <w:top w:val="single" w:color="auto" w:sz="6" w:space="0"/>
              <w:left w:val="single" w:color="auto" w:sz="12" w:space="0"/>
              <w:bottom w:val="single" w:color="auto" w:sz="6" w:space="0"/>
              <w:right w:val="single" w:color="auto" w:sz="6" w:space="0"/>
            </w:tcBorders>
            <w:vAlign w:val="center"/>
          </w:tcPr>
          <w:p>
            <w:pPr>
              <w:rPr>
                <w:szCs w:val="21"/>
              </w:rPr>
            </w:pPr>
            <w:r>
              <w:rPr>
                <w:sz w:val="22"/>
                <w:szCs w:val="21"/>
              </w:rPr>
              <w:t>22.1.1（1）</w:t>
            </w:r>
          </w:p>
        </w:tc>
        <w:tc>
          <w:tcPr>
            <w:tcW w:w="4530" w:type="dxa"/>
            <w:tcBorders>
              <w:top w:val="single" w:color="auto" w:sz="6" w:space="0"/>
              <w:left w:val="single" w:color="auto" w:sz="6" w:space="0"/>
              <w:bottom w:val="single" w:color="auto" w:sz="6" w:space="0"/>
              <w:right w:val="single" w:color="auto" w:sz="6" w:space="0"/>
            </w:tcBorders>
            <w:vAlign w:val="center"/>
          </w:tcPr>
          <w:p>
            <w:pPr>
              <w:rPr>
                <w:szCs w:val="21"/>
              </w:rPr>
            </w:pPr>
            <w:r>
              <w:rPr>
                <w:bCs/>
                <w:snapToGrid w:val="0"/>
                <w:spacing w:val="-6"/>
                <w:sz w:val="22"/>
              </w:rPr>
              <w:t>承包人私自将合同的全部或部分权利转让给其他人，或私自将合同的全部或部分义务转移给其他人</w:t>
            </w:r>
          </w:p>
        </w:tc>
        <w:tc>
          <w:tcPr>
            <w:tcW w:w="4008" w:type="dxa"/>
            <w:tcBorders>
              <w:top w:val="single" w:color="auto" w:sz="6" w:space="0"/>
              <w:left w:val="single" w:color="auto" w:sz="6" w:space="0"/>
              <w:bottom w:val="single" w:color="auto" w:sz="6" w:space="0"/>
              <w:right w:val="single" w:color="auto" w:sz="12" w:space="0"/>
            </w:tcBorders>
            <w:vAlign w:val="center"/>
          </w:tcPr>
          <w:p>
            <w:pPr>
              <w:pStyle w:val="46"/>
              <w:snapToGrid w:val="0"/>
              <w:rPr>
                <w:rFonts w:ascii="Times New Roman" w:hAnsi="Times New Roman"/>
                <w:bCs/>
                <w:snapToGrid w:val="0"/>
                <w:spacing w:val="-6"/>
              </w:rPr>
            </w:pPr>
            <w:r>
              <w:rPr>
                <w:rFonts w:ascii="Times New Roman" w:hAnsi="Times New Roman"/>
                <w:bCs/>
                <w:snapToGrid w:val="0"/>
                <w:spacing w:val="-6"/>
                <w:sz w:val="22"/>
              </w:rPr>
              <w:t>发包人将终止合同，并没收承包人的履约担保（</w:t>
            </w:r>
            <w:r>
              <w:rPr>
                <w:rFonts w:ascii="Times New Roman" w:hAnsi="Times New Roman" w:eastAsia="楷体_GB2312"/>
                <w:bCs/>
                <w:snapToGrid w:val="0"/>
                <w:spacing w:val="-6"/>
                <w:sz w:val="22"/>
              </w:rPr>
              <w:t>采用现金的直接没收，采用保函的，发包人向担保机构索赔，下同</w:t>
            </w:r>
            <w:r>
              <w:rPr>
                <w:rFonts w:ascii="Times New Roman" w:hAnsi="Times New Roman"/>
                <w:bCs/>
                <w:snapToGrid w:val="0"/>
                <w:spacing w:val="-6"/>
                <w:sz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tcBorders>
              <w:top w:val="single" w:color="auto" w:sz="6" w:space="0"/>
              <w:left w:val="single" w:color="auto" w:sz="12" w:space="0"/>
              <w:bottom w:val="single" w:color="auto" w:sz="6" w:space="0"/>
              <w:right w:val="single" w:color="auto" w:sz="6" w:space="0"/>
            </w:tcBorders>
            <w:vAlign w:val="center"/>
          </w:tcPr>
          <w:p>
            <w:pPr>
              <w:rPr>
                <w:szCs w:val="21"/>
              </w:rPr>
            </w:pPr>
            <w:r>
              <w:rPr>
                <w:sz w:val="22"/>
                <w:szCs w:val="21"/>
              </w:rPr>
              <w:t>22.1.1（2）</w:t>
            </w:r>
          </w:p>
        </w:tc>
        <w:tc>
          <w:tcPr>
            <w:tcW w:w="4530" w:type="dxa"/>
            <w:tcBorders>
              <w:top w:val="single" w:color="auto" w:sz="6" w:space="0"/>
              <w:left w:val="single" w:color="auto" w:sz="6" w:space="0"/>
              <w:bottom w:val="single" w:color="auto" w:sz="6" w:space="0"/>
              <w:right w:val="single" w:color="auto" w:sz="6" w:space="0"/>
            </w:tcBorders>
            <w:vAlign w:val="center"/>
          </w:tcPr>
          <w:p>
            <w:pPr>
              <w:rPr>
                <w:rFonts w:eastAsia="Tahoma"/>
                <w:bCs/>
                <w:snapToGrid w:val="0"/>
                <w:spacing w:val="-6"/>
              </w:rPr>
            </w:pPr>
            <w:r>
              <w:rPr>
                <w:bCs/>
                <w:snapToGrid w:val="0"/>
                <w:spacing w:val="-6"/>
                <w:sz w:val="22"/>
              </w:rPr>
              <w:t>承包人的人力、设备、技术、资金等不能满足工作要求</w:t>
            </w:r>
          </w:p>
        </w:tc>
        <w:tc>
          <w:tcPr>
            <w:tcW w:w="4008" w:type="dxa"/>
            <w:tcBorders>
              <w:top w:val="single" w:color="auto" w:sz="6" w:space="0"/>
              <w:left w:val="single" w:color="auto" w:sz="6" w:space="0"/>
              <w:bottom w:val="single" w:color="auto" w:sz="6" w:space="0"/>
              <w:right w:val="single" w:color="auto" w:sz="12" w:space="0"/>
            </w:tcBorders>
            <w:vAlign w:val="center"/>
          </w:tcPr>
          <w:p>
            <w:pPr>
              <w:pStyle w:val="46"/>
              <w:snapToGrid w:val="0"/>
              <w:rPr>
                <w:rFonts w:ascii="Times New Roman" w:hAnsi="Times New Roman" w:eastAsia="Tahoma"/>
                <w:bCs/>
                <w:snapToGrid w:val="0"/>
                <w:spacing w:val="-6"/>
              </w:rPr>
            </w:pPr>
            <w:r>
              <w:rPr>
                <w:rFonts w:ascii="Times New Roman" w:hAnsi="Times New Roman"/>
                <w:bCs/>
                <w:snapToGrid w:val="0"/>
                <w:spacing w:val="-6"/>
                <w:sz w:val="22"/>
              </w:rPr>
              <w:t>发包人有权解除合同，并没收承包人的履约担保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tcBorders>
              <w:top w:val="single" w:color="auto" w:sz="6" w:space="0"/>
              <w:left w:val="single" w:color="auto" w:sz="12" w:space="0"/>
              <w:bottom w:val="single" w:color="auto" w:sz="6" w:space="0"/>
              <w:right w:val="single" w:color="auto" w:sz="6" w:space="0"/>
            </w:tcBorders>
            <w:vAlign w:val="center"/>
          </w:tcPr>
          <w:p>
            <w:pPr>
              <w:rPr>
                <w:szCs w:val="21"/>
              </w:rPr>
            </w:pPr>
            <w:r>
              <w:rPr>
                <w:sz w:val="22"/>
                <w:szCs w:val="21"/>
              </w:rPr>
              <w:t>22.1.1（3）</w:t>
            </w:r>
          </w:p>
        </w:tc>
        <w:tc>
          <w:tcPr>
            <w:tcW w:w="4530" w:type="dxa"/>
            <w:tcBorders>
              <w:top w:val="single" w:color="auto" w:sz="6" w:space="0"/>
              <w:left w:val="single" w:color="auto" w:sz="6" w:space="0"/>
              <w:bottom w:val="single" w:color="auto" w:sz="6" w:space="0"/>
              <w:right w:val="single" w:color="auto" w:sz="6" w:space="0"/>
            </w:tcBorders>
            <w:vAlign w:val="center"/>
          </w:tcPr>
          <w:p>
            <w:pPr>
              <w:rPr>
                <w:rFonts w:eastAsia="Tahoma"/>
                <w:bCs/>
                <w:snapToGrid w:val="0"/>
                <w:spacing w:val="-6"/>
              </w:rPr>
            </w:pPr>
            <w:r>
              <w:rPr>
                <w:bCs/>
                <w:snapToGrid w:val="0"/>
                <w:spacing w:val="-6"/>
                <w:sz w:val="22"/>
              </w:rPr>
              <w:t>承包人在合同期内，承包人严重违反发包人相关管理规定，经发包人书面告之</w:t>
            </w:r>
            <w:r>
              <w:rPr>
                <w:rFonts w:eastAsia="Tahoma"/>
                <w:bCs/>
                <w:snapToGrid w:val="0"/>
                <w:spacing w:val="-6"/>
                <w:sz w:val="22"/>
              </w:rPr>
              <w:t>3</w:t>
            </w:r>
            <w:r>
              <w:rPr>
                <w:bCs/>
                <w:snapToGrid w:val="0"/>
                <w:spacing w:val="-6"/>
                <w:sz w:val="22"/>
              </w:rPr>
              <w:t>内仍无改正</w:t>
            </w:r>
          </w:p>
        </w:tc>
        <w:tc>
          <w:tcPr>
            <w:tcW w:w="4008" w:type="dxa"/>
            <w:tcBorders>
              <w:top w:val="single" w:color="auto" w:sz="6" w:space="0"/>
              <w:left w:val="single" w:color="auto" w:sz="6" w:space="0"/>
              <w:bottom w:val="single" w:color="auto" w:sz="6" w:space="0"/>
              <w:right w:val="single" w:color="auto" w:sz="12" w:space="0"/>
            </w:tcBorders>
            <w:vAlign w:val="center"/>
          </w:tcPr>
          <w:p>
            <w:pPr>
              <w:pStyle w:val="46"/>
              <w:snapToGrid w:val="0"/>
              <w:rPr>
                <w:rFonts w:ascii="Times New Roman" w:hAnsi="Times New Roman" w:eastAsia="Tahoma"/>
                <w:bCs/>
                <w:snapToGrid w:val="0"/>
                <w:spacing w:val="-6"/>
              </w:rPr>
            </w:pPr>
            <w:r>
              <w:rPr>
                <w:rFonts w:ascii="Times New Roman" w:hAnsi="Times New Roman"/>
                <w:bCs/>
                <w:snapToGrid w:val="0"/>
                <w:spacing w:val="-6"/>
                <w:sz w:val="22"/>
              </w:rPr>
              <w:t>发包人有权解除合同，并没收承包人的履约担保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tcBorders>
              <w:top w:val="single" w:color="auto" w:sz="6" w:space="0"/>
              <w:left w:val="single" w:color="auto" w:sz="12" w:space="0"/>
              <w:bottom w:val="single" w:color="auto" w:sz="6" w:space="0"/>
              <w:right w:val="single" w:color="auto" w:sz="6" w:space="0"/>
            </w:tcBorders>
            <w:vAlign w:val="center"/>
          </w:tcPr>
          <w:p>
            <w:pPr>
              <w:rPr>
                <w:szCs w:val="21"/>
              </w:rPr>
            </w:pPr>
            <w:r>
              <w:rPr>
                <w:sz w:val="22"/>
                <w:szCs w:val="21"/>
              </w:rPr>
              <w:t>22.1.1（4）</w:t>
            </w:r>
          </w:p>
        </w:tc>
        <w:tc>
          <w:tcPr>
            <w:tcW w:w="4530" w:type="dxa"/>
            <w:tcBorders>
              <w:top w:val="single" w:color="auto" w:sz="6" w:space="0"/>
              <w:left w:val="single" w:color="auto" w:sz="6" w:space="0"/>
              <w:bottom w:val="single" w:color="auto" w:sz="6" w:space="0"/>
              <w:right w:val="single" w:color="auto" w:sz="6" w:space="0"/>
            </w:tcBorders>
            <w:vAlign w:val="center"/>
          </w:tcPr>
          <w:p>
            <w:pPr>
              <w:rPr>
                <w:szCs w:val="21"/>
              </w:rPr>
            </w:pPr>
            <w:r>
              <w:rPr>
                <w:bCs/>
                <w:snapToGrid w:val="0"/>
                <w:spacing w:val="-6"/>
                <w:sz w:val="22"/>
              </w:rPr>
              <w:t>承包人未经发包人批准，私自将已按合同约定进入施工场地的施工设备、临时设施、材料或工程设备撤离施工场地</w:t>
            </w:r>
          </w:p>
        </w:tc>
        <w:tc>
          <w:tcPr>
            <w:tcW w:w="4008" w:type="dxa"/>
            <w:tcBorders>
              <w:top w:val="single" w:color="auto" w:sz="6" w:space="0"/>
              <w:left w:val="single" w:color="auto" w:sz="6" w:space="0"/>
              <w:bottom w:val="single" w:color="auto" w:sz="6" w:space="0"/>
              <w:right w:val="single" w:color="auto" w:sz="12" w:space="0"/>
            </w:tcBorders>
            <w:vAlign w:val="center"/>
          </w:tcPr>
          <w:p>
            <w:pPr>
              <w:rPr>
                <w:rFonts w:eastAsia="Tahoma"/>
                <w:bCs/>
                <w:snapToGrid w:val="0"/>
                <w:spacing w:val="-6"/>
              </w:rPr>
            </w:pPr>
            <w:r>
              <w:rPr>
                <w:bCs/>
                <w:snapToGrid w:val="0"/>
                <w:spacing w:val="-6"/>
                <w:sz w:val="22"/>
              </w:rPr>
              <w:t>发包人将课以承包人</w:t>
            </w:r>
            <w:r>
              <w:rPr>
                <w:rFonts w:eastAsia="Tahoma"/>
                <w:bCs/>
                <w:snapToGrid w:val="0"/>
                <w:spacing w:val="-6"/>
                <w:sz w:val="22"/>
              </w:rPr>
              <w:t>5</w:t>
            </w:r>
            <w:r>
              <w:rPr>
                <w:bCs/>
                <w:snapToGrid w:val="0"/>
                <w:spacing w:val="-6"/>
                <w:sz w:val="22"/>
              </w:rPr>
              <w:t>万元</w:t>
            </w:r>
            <w:r>
              <w:rPr>
                <w:rFonts w:eastAsia="Tahoma"/>
                <w:bCs/>
                <w:snapToGrid w:val="0"/>
                <w:spacing w:val="-6"/>
                <w:sz w:val="22"/>
              </w:rPr>
              <w:t>/</w:t>
            </w:r>
            <w:r>
              <w:rPr>
                <w:bCs/>
                <w:snapToGrid w:val="0"/>
                <w:spacing w:val="-6"/>
                <w:sz w:val="22"/>
              </w:rPr>
              <w:t>次的违约金，若承包人未在限期内改正，发包人将课以承包人</w:t>
            </w:r>
            <w:r>
              <w:rPr>
                <w:rFonts w:eastAsia="Tahoma"/>
                <w:bCs/>
                <w:snapToGrid w:val="0"/>
                <w:spacing w:val="-6"/>
                <w:sz w:val="22"/>
              </w:rPr>
              <w:t>1</w:t>
            </w:r>
            <w:r>
              <w:rPr>
                <w:bCs/>
                <w:snapToGrid w:val="0"/>
                <w:spacing w:val="-6"/>
                <w:sz w:val="22"/>
              </w:rPr>
              <w:t>万元</w:t>
            </w:r>
            <w:r>
              <w:rPr>
                <w:rFonts w:eastAsia="Tahoma"/>
                <w:bCs/>
                <w:snapToGrid w:val="0"/>
                <w:spacing w:val="-6"/>
                <w:sz w:val="22"/>
              </w:rPr>
              <w:t>/</w:t>
            </w:r>
            <w:r>
              <w:rPr>
                <w:bCs/>
                <w:snapToGrid w:val="0"/>
                <w:spacing w:val="-6"/>
                <w:sz w:val="22"/>
              </w:rPr>
              <w:t>次·天的违约金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tcBorders>
              <w:top w:val="single" w:color="auto" w:sz="6" w:space="0"/>
              <w:left w:val="single" w:color="auto" w:sz="12" w:space="0"/>
              <w:bottom w:val="single" w:color="auto" w:sz="6" w:space="0"/>
              <w:right w:val="single" w:color="auto" w:sz="6" w:space="0"/>
            </w:tcBorders>
            <w:vAlign w:val="center"/>
          </w:tcPr>
          <w:p>
            <w:pPr>
              <w:rPr>
                <w:szCs w:val="21"/>
              </w:rPr>
            </w:pPr>
            <w:r>
              <w:rPr>
                <w:sz w:val="22"/>
                <w:szCs w:val="21"/>
              </w:rPr>
              <w:t>22.1.1（5）</w:t>
            </w:r>
          </w:p>
        </w:tc>
        <w:tc>
          <w:tcPr>
            <w:tcW w:w="4530" w:type="dxa"/>
            <w:tcBorders>
              <w:top w:val="single" w:color="auto" w:sz="6" w:space="0"/>
              <w:left w:val="single" w:color="auto" w:sz="6" w:space="0"/>
              <w:bottom w:val="single" w:color="auto" w:sz="6" w:space="0"/>
              <w:right w:val="single" w:color="auto" w:sz="6" w:space="0"/>
            </w:tcBorders>
            <w:vAlign w:val="center"/>
          </w:tcPr>
          <w:p>
            <w:pPr>
              <w:rPr>
                <w:rFonts w:eastAsia="Tahoma"/>
                <w:bCs/>
                <w:snapToGrid w:val="0"/>
                <w:spacing w:val="-6"/>
              </w:rPr>
            </w:pPr>
            <w:r>
              <w:rPr>
                <w:bCs/>
                <w:snapToGrid w:val="0"/>
                <w:spacing w:val="-6"/>
                <w:sz w:val="22"/>
              </w:rPr>
              <w:t>承包人在拆除施工中使用了不合格材料或工程设备，工程质量达不到标准要求，施工现场管理混乱</w:t>
            </w:r>
          </w:p>
        </w:tc>
        <w:tc>
          <w:tcPr>
            <w:tcW w:w="4008" w:type="dxa"/>
            <w:tcBorders>
              <w:top w:val="single" w:color="auto" w:sz="6" w:space="0"/>
              <w:left w:val="single" w:color="auto" w:sz="6" w:space="0"/>
              <w:bottom w:val="single" w:color="auto" w:sz="6" w:space="0"/>
              <w:right w:val="single" w:color="auto" w:sz="12" w:space="0"/>
            </w:tcBorders>
            <w:vAlign w:val="center"/>
          </w:tcPr>
          <w:p>
            <w:pPr>
              <w:pStyle w:val="46"/>
              <w:snapToGrid w:val="0"/>
              <w:rPr>
                <w:rFonts w:ascii="Times New Roman" w:hAnsi="Times New Roman"/>
                <w:bCs/>
                <w:snapToGrid w:val="0"/>
                <w:spacing w:val="-6"/>
              </w:rPr>
            </w:pPr>
            <w:r>
              <w:rPr>
                <w:rFonts w:ascii="Times New Roman" w:hAnsi="Times New Roman"/>
                <w:bCs/>
                <w:snapToGrid w:val="0"/>
                <w:spacing w:val="-6"/>
                <w:sz w:val="22"/>
              </w:rPr>
              <w:t>发包人将课以承包人不合格材料、设备、工程价格</w:t>
            </w:r>
            <w:r>
              <w:rPr>
                <w:rFonts w:ascii="Times New Roman" w:hAnsi="Times New Roman" w:eastAsia="Tahoma"/>
                <w:bCs/>
                <w:snapToGrid w:val="0"/>
                <w:spacing w:val="-6"/>
                <w:sz w:val="22"/>
              </w:rPr>
              <w:t>20%</w:t>
            </w:r>
            <w:r>
              <w:rPr>
                <w:rFonts w:ascii="Times New Roman" w:hAnsi="Times New Roman"/>
                <w:bCs/>
                <w:snapToGrid w:val="0"/>
                <w:spacing w:val="-6"/>
                <w:sz w:val="22"/>
              </w:rPr>
              <w:t>的违约金，发包人可请他人将不合格材料、设备、工程移出现场，其费用由承包人负担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tcBorders>
              <w:top w:val="single" w:color="auto" w:sz="6" w:space="0"/>
              <w:left w:val="single" w:color="auto" w:sz="12" w:space="0"/>
              <w:bottom w:val="single" w:color="auto" w:sz="6" w:space="0"/>
              <w:right w:val="single" w:color="auto" w:sz="6" w:space="0"/>
            </w:tcBorders>
            <w:vAlign w:val="center"/>
          </w:tcPr>
          <w:p>
            <w:pPr>
              <w:rPr>
                <w:szCs w:val="21"/>
              </w:rPr>
            </w:pPr>
            <w:r>
              <w:rPr>
                <w:sz w:val="22"/>
                <w:szCs w:val="21"/>
              </w:rPr>
              <w:t>22.1.1（6）</w:t>
            </w:r>
          </w:p>
        </w:tc>
        <w:tc>
          <w:tcPr>
            <w:tcW w:w="4530" w:type="dxa"/>
            <w:tcBorders>
              <w:top w:val="single" w:color="auto" w:sz="6" w:space="0"/>
              <w:left w:val="single" w:color="auto" w:sz="6" w:space="0"/>
              <w:bottom w:val="single" w:color="auto" w:sz="6" w:space="0"/>
              <w:right w:val="single" w:color="auto" w:sz="6" w:space="0"/>
            </w:tcBorders>
            <w:vAlign w:val="center"/>
          </w:tcPr>
          <w:p>
            <w:pPr>
              <w:rPr>
                <w:rFonts w:eastAsia="Tahoma"/>
                <w:bCs/>
                <w:snapToGrid w:val="0"/>
                <w:spacing w:val="-6"/>
              </w:rPr>
            </w:pPr>
            <w:r>
              <w:rPr>
                <w:bCs/>
                <w:snapToGrid w:val="0"/>
                <w:spacing w:val="-6"/>
                <w:sz w:val="22"/>
              </w:rPr>
              <w:t>承包人在缺陷责任期内，未能对年度验收所列的缺陷清单的内容或缺陷责任期内发生的缺陷进行修复，而又拒绝按发包人指示再进行修补</w:t>
            </w:r>
          </w:p>
        </w:tc>
        <w:tc>
          <w:tcPr>
            <w:tcW w:w="4008" w:type="dxa"/>
            <w:tcBorders>
              <w:top w:val="single" w:color="auto" w:sz="6" w:space="0"/>
              <w:left w:val="single" w:color="auto" w:sz="6" w:space="0"/>
              <w:bottom w:val="single" w:color="auto" w:sz="6" w:space="0"/>
              <w:right w:val="single" w:color="auto" w:sz="12" w:space="0"/>
            </w:tcBorders>
            <w:vAlign w:val="center"/>
          </w:tcPr>
          <w:p>
            <w:pPr>
              <w:rPr>
                <w:rFonts w:eastAsia="Tahoma"/>
                <w:bCs/>
                <w:snapToGrid w:val="0"/>
                <w:spacing w:val="-6"/>
              </w:rPr>
            </w:pPr>
            <w:r>
              <w:rPr>
                <w:bCs/>
                <w:snapToGrid w:val="0"/>
                <w:spacing w:val="-6"/>
                <w:sz w:val="22"/>
              </w:rPr>
              <w:t>发包人将课以承包人</w:t>
            </w:r>
            <w:r>
              <w:rPr>
                <w:rFonts w:eastAsia="Tahoma"/>
                <w:bCs/>
                <w:snapToGrid w:val="0"/>
                <w:spacing w:val="-6"/>
                <w:sz w:val="22"/>
              </w:rPr>
              <w:t>5</w:t>
            </w:r>
            <w:r>
              <w:rPr>
                <w:bCs/>
                <w:snapToGrid w:val="0"/>
                <w:spacing w:val="-6"/>
                <w:sz w:val="22"/>
              </w:rPr>
              <w:t>万元</w:t>
            </w:r>
            <w:r>
              <w:rPr>
                <w:rFonts w:eastAsia="Tahoma"/>
                <w:bCs/>
                <w:snapToGrid w:val="0"/>
                <w:spacing w:val="-6"/>
                <w:sz w:val="22"/>
              </w:rPr>
              <w:t>/</w:t>
            </w:r>
            <w:r>
              <w:rPr>
                <w:bCs/>
                <w:snapToGrid w:val="0"/>
                <w:spacing w:val="-6"/>
                <w:sz w:val="22"/>
              </w:rPr>
              <w:t>次的违约金，发包人可请他人修复缺陷工程，其费用由承包人负担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tcBorders>
              <w:top w:val="single" w:color="auto" w:sz="6" w:space="0"/>
              <w:left w:val="single" w:color="auto" w:sz="12" w:space="0"/>
              <w:bottom w:val="single" w:color="auto" w:sz="6" w:space="0"/>
              <w:right w:val="single" w:color="auto" w:sz="6" w:space="0"/>
            </w:tcBorders>
            <w:vAlign w:val="center"/>
          </w:tcPr>
          <w:p>
            <w:pPr>
              <w:rPr>
                <w:szCs w:val="21"/>
              </w:rPr>
            </w:pPr>
            <w:r>
              <w:rPr>
                <w:sz w:val="22"/>
                <w:szCs w:val="21"/>
              </w:rPr>
              <w:t>22.1.1（7）</w:t>
            </w:r>
          </w:p>
        </w:tc>
        <w:tc>
          <w:tcPr>
            <w:tcW w:w="4530" w:type="dxa"/>
            <w:tcBorders>
              <w:top w:val="single" w:color="auto" w:sz="6" w:space="0"/>
              <w:left w:val="single" w:color="auto" w:sz="6" w:space="0"/>
              <w:bottom w:val="single" w:color="auto" w:sz="6" w:space="0"/>
              <w:right w:val="single" w:color="auto" w:sz="6" w:space="0"/>
            </w:tcBorders>
            <w:vAlign w:val="center"/>
          </w:tcPr>
          <w:p>
            <w:pPr>
              <w:rPr>
                <w:rFonts w:eastAsia="Tahoma"/>
                <w:bCs/>
                <w:snapToGrid w:val="0"/>
                <w:spacing w:val="-6"/>
              </w:rPr>
            </w:pPr>
            <w:r>
              <w:rPr>
                <w:bCs/>
                <w:snapToGrid w:val="0"/>
                <w:spacing w:val="-6"/>
                <w:sz w:val="22"/>
              </w:rPr>
              <w:t>承包人无法继续履行或明确表示不履行或实质上已停止履行合同</w:t>
            </w:r>
          </w:p>
        </w:tc>
        <w:tc>
          <w:tcPr>
            <w:tcW w:w="4008" w:type="dxa"/>
            <w:tcBorders>
              <w:top w:val="single" w:color="auto" w:sz="6" w:space="0"/>
              <w:left w:val="single" w:color="auto" w:sz="6" w:space="0"/>
              <w:bottom w:val="single" w:color="auto" w:sz="6" w:space="0"/>
              <w:right w:val="single" w:color="auto" w:sz="12" w:space="0"/>
            </w:tcBorders>
            <w:vAlign w:val="center"/>
          </w:tcPr>
          <w:p>
            <w:pPr>
              <w:rPr>
                <w:rFonts w:eastAsia="Tahoma"/>
                <w:bCs/>
                <w:snapToGrid w:val="0"/>
                <w:spacing w:val="-6"/>
              </w:rPr>
            </w:pPr>
            <w:r>
              <w:rPr>
                <w:bCs/>
                <w:snapToGrid w:val="0"/>
                <w:spacing w:val="-6"/>
                <w:sz w:val="22"/>
              </w:rPr>
              <w:t>发包人将终止合同，没收承包人的履约担保，并按有关法律处理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tcBorders>
              <w:top w:val="single" w:color="auto" w:sz="6" w:space="0"/>
              <w:left w:val="single" w:color="auto" w:sz="12" w:space="0"/>
              <w:bottom w:val="single" w:color="auto" w:sz="6" w:space="0"/>
              <w:right w:val="single" w:color="auto" w:sz="6" w:space="0"/>
            </w:tcBorders>
            <w:vAlign w:val="center"/>
          </w:tcPr>
          <w:p>
            <w:pPr>
              <w:rPr>
                <w:szCs w:val="21"/>
              </w:rPr>
            </w:pPr>
            <w:r>
              <w:rPr>
                <w:sz w:val="22"/>
                <w:szCs w:val="21"/>
              </w:rPr>
              <w:t>22.1.1（8）</w:t>
            </w:r>
          </w:p>
        </w:tc>
        <w:tc>
          <w:tcPr>
            <w:tcW w:w="4530" w:type="dxa"/>
            <w:tcBorders>
              <w:top w:val="single" w:color="auto" w:sz="6" w:space="0"/>
              <w:left w:val="single" w:color="auto" w:sz="6" w:space="0"/>
              <w:bottom w:val="single" w:color="auto" w:sz="6" w:space="0"/>
              <w:right w:val="single" w:color="auto" w:sz="6" w:space="0"/>
            </w:tcBorders>
            <w:vAlign w:val="center"/>
          </w:tcPr>
          <w:p>
            <w:pPr>
              <w:rPr>
                <w:rFonts w:eastAsia="Tahoma"/>
                <w:bCs/>
                <w:snapToGrid w:val="0"/>
                <w:spacing w:val="-6"/>
              </w:rPr>
            </w:pPr>
            <w:r>
              <w:rPr>
                <w:bCs/>
                <w:snapToGrid w:val="0"/>
                <w:spacing w:val="-6"/>
                <w:sz w:val="22"/>
              </w:rPr>
              <w:t>承包人违反第</w:t>
            </w:r>
            <w:r>
              <w:rPr>
                <w:rFonts w:eastAsia="Tahoma"/>
                <w:bCs/>
                <w:snapToGrid w:val="0"/>
                <w:spacing w:val="-6"/>
                <w:sz w:val="22"/>
              </w:rPr>
              <w:t>4.6</w:t>
            </w:r>
            <w:r>
              <w:rPr>
                <w:bCs/>
                <w:snapToGrid w:val="0"/>
                <w:spacing w:val="-6"/>
                <w:sz w:val="22"/>
              </w:rPr>
              <w:t>款或</w:t>
            </w:r>
            <w:r>
              <w:rPr>
                <w:rFonts w:eastAsia="Tahoma"/>
                <w:bCs/>
                <w:snapToGrid w:val="0"/>
                <w:spacing w:val="-6"/>
                <w:sz w:val="22"/>
              </w:rPr>
              <w:t>6.3</w:t>
            </w:r>
            <w:r>
              <w:rPr>
                <w:bCs/>
                <w:snapToGrid w:val="0"/>
                <w:spacing w:val="-6"/>
                <w:sz w:val="22"/>
              </w:rPr>
              <w:t>款的规定，未按承诺或未按发包人的要求及时配备称职的主要管理人员、技术骨干或关键施工设备</w:t>
            </w:r>
          </w:p>
        </w:tc>
        <w:tc>
          <w:tcPr>
            <w:tcW w:w="4008" w:type="dxa"/>
            <w:tcBorders>
              <w:top w:val="single" w:color="auto" w:sz="6" w:space="0"/>
              <w:left w:val="single" w:color="auto" w:sz="6" w:space="0"/>
              <w:bottom w:val="single" w:color="auto" w:sz="6" w:space="0"/>
              <w:right w:val="single" w:color="auto" w:sz="12" w:space="0"/>
            </w:tcBorders>
            <w:vAlign w:val="center"/>
          </w:tcPr>
          <w:p>
            <w:pPr>
              <w:pStyle w:val="46"/>
              <w:snapToGrid w:val="0"/>
              <w:rPr>
                <w:rFonts w:ascii="Times New Roman" w:hAnsi="Times New Roman" w:eastAsia="Tahoma"/>
                <w:bCs/>
                <w:snapToGrid w:val="0"/>
                <w:spacing w:val="-6"/>
              </w:rPr>
            </w:pPr>
            <w:r>
              <w:rPr>
                <w:rFonts w:ascii="Times New Roman" w:hAnsi="Times New Roman"/>
                <w:bCs/>
                <w:snapToGrid w:val="0"/>
                <w:spacing w:val="-6"/>
                <w:sz w:val="22"/>
              </w:rPr>
              <w:t>项目经理、项目总工未按发包人要求及时进场，课以承包人</w:t>
            </w:r>
            <w:r>
              <w:rPr>
                <w:rFonts w:ascii="Times New Roman" w:hAnsi="Times New Roman" w:eastAsia="Tahoma"/>
                <w:bCs/>
                <w:snapToGrid w:val="0"/>
                <w:spacing w:val="-6"/>
                <w:sz w:val="22"/>
              </w:rPr>
              <w:t>2000</w:t>
            </w:r>
            <w:r>
              <w:rPr>
                <w:rFonts w:ascii="Times New Roman" w:hAnsi="Times New Roman"/>
                <w:bCs/>
                <w:snapToGrid w:val="0"/>
                <w:spacing w:val="-6"/>
                <w:sz w:val="22"/>
              </w:rPr>
              <w:t>元</w:t>
            </w:r>
            <w:r>
              <w:rPr>
                <w:rFonts w:ascii="Times New Roman" w:hAnsi="Times New Roman" w:eastAsia="Tahoma"/>
                <w:bCs/>
                <w:snapToGrid w:val="0"/>
                <w:spacing w:val="-6"/>
                <w:sz w:val="22"/>
              </w:rPr>
              <w:t>/</w:t>
            </w:r>
            <w:r>
              <w:rPr>
                <w:rFonts w:ascii="Times New Roman" w:hAnsi="Times New Roman"/>
                <w:bCs/>
                <w:snapToGrid w:val="0"/>
                <w:spacing w:val="-6"/>
                <w:sz w:val="22"/>
              </w:rPr>
              <w:t>人·天的违约金；关键施工设备未按发包人要求及时进场，课以承包人</w:t>
            </w:r>
            <w:r>
              <w:rPr>
                <w:rFonts w:ascii="Times New Roman" w:hAnsi="Times New Roman" w:eastAsia="Tahoma"/>
                <w:bCs/>
                <w:snapToGrid w:val="0"/>
                <w:spacing w:val="-6"/>
                <w:sz w:val="22"/>
              </w:rPr>
              <w:t>3</w:t>
            </w:r>
            <w:r>
              <w:rPr>
                <w:rFonts w:ascii="Times New Roman" w:hAnsi="Times New Roman"/>
                <w:bCs/>
                <w:snapToGrid w:val="0"/>
                <w:spacing w:val="-6"/>
                <w:sz w:val="22"/>
              </w:rPr>
              <w:t>倍设备台班费</w:t>
            </w:r>
            <w:r>
              <w:rPr>
                <w:rFonts w:ascii="Times New Roman" w:hAnsi="Times New Roman" w:eastAsia="Tahoma"/>
                <w:bCs/>
                <w:snapToGrid w:val="0"/>
                <w:spacing w:val="-6"/>
                <w:sz w:val="22"/>
              </w:rPr>
              <w:t>/</w:t>
            </w:r>
            <w:r>
              <w:rPr>
                <w:rFonts w:ascii="Times New Roman" w:hAnsi="Times New Roman"/>
                <w:bCs/>
                <w:snapToGrid w:val="0"/>
                <w:spacing w:val="-6"/>
                <w:sz w:val="22"/>
              </w:rPr>
              <w:t>台·天的违约金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tcBorders>
              <w:top w:val="single" w:color="auto" w:sz="6" w:space="0"/>
              <w:left w:val="single" w:color="auto" w:sz="12" w:space="0"/>
              <w:bottom w:val="single" w:color="auto" w:sz="6" w:space="0"/>
              <w:right w:val="single" w:color="auto" w:sz="6" w:space="0"/>
            </w:tcBorders>
            <w:vAlign w:val="center"/>
          </w:tcPr>
          <w:p>
            <w:pPr>
              <w:rPr>
                <w:szCs w:val="21"/>
              </w:rPr>
            </w:pPr>
            <w:r>
              <w:rPr>
                <w:sz w:val="22"/>
                <w:szCs w:val="21"/>
              </w:rPr>
              <w:t>22.1.1（9）</w:t>
            </w:r>
          </w:p>
        </w:tc>
        <w:tc>
          <w:tcPr>
            <w:tcW w:w="4530" w:type="dxa"/>
            <w:tcBorders>
              <w:top w:val="single" w:color="auto" w:sz="6" w:space="0"/>
              <w:left w:val="single" w:color="auto" w:sz="6" w:space="0"/>
              <w:bottom w:val="single" w:color="auto" w:sz="6" w:space="0"/>
              <w:right w:val="single" w:color="auto" w:sz="6" w:space="0"/>
            </w:tcBorders>
            <w:vAlign w:val="center"/>
          </w:tcPr>
          <w:p>
            <w:pPr>
              <w:rPr>
                <w:rFonts w:eastAsia="Tahoma"/>
                <w:bCs/>
                <w:snapToGrid w:val="0"/>
                <w:spacing w:val="-6"/>
              </w:rPr>
            </w:pPr>
            <w:r>
              <w:rPr>
                <w:bCs/>
                <w:snapToGrid w:val="0"/>
                <w:spacing w:val="-6"/>
                <w:sz w:val="22"/>
              </w:rPr>
              <w:t>经发包人检查，发现承包人有安全问题或有违反安全管理规章制度的情况</w:t>
            </w:r>
          </w:p>
        </w:tc>
        <w:tc>
          <w:tcPr>
            <w:tcW w:w="4008" w:type="dxa"/>
            <w:tcBorders>
              <w:top w:val="single" w:color="auto" w:sz="6" w:space="0"/>
              <w:left w:val="single" w:color="auto" w:sz="6" w:space="0"/>
              <w:bottom w:val="single" w:color="auto" w:sz="6" w:space="0"/>
              <w:right w:val="single" w:color="auto" w:sz="12" w:space="0"/>
            </w:tcBorders>
            <w:vAlign w:val="center"/>
          </w:tcPr>
          <w:p>
            <w:pPr>
              <w:rPr>
                <w:bCs/>
                <w:snapToGrid w:val="0"/>
                <w:spacing w:val="-6"/>
                <w:kern w:val="0"/>
              </w:rPr>
            </w:pPr>
            <w:r>
              <w:rPr>
                <w:bCs/>
                <w:snapToGrid w:val="0"/>
                <w:spacing w:val="-6"/>
                <w:sz w:val="22"/>
              </w:rPr>
              <w:t>视违约程度，课以承包人</w:t>
            </w:r>
            <w:r>
              <w:rPr>
                <w:rFonts w:eastAsia="Tahoma"/>
                <w:bCs/>
                <w:snapToGrid w:val="0"/>
                <w:spacing w:val="-6"/>
                <w:sz w:val="22"/>
              </w:rPr>
              <w:t>5</w:t>
            </w:r>
            <w:r>
              <w:rPr>
                <w:bCs/>
                <w:snapToGrid w:val="0"/>
                <w:spacing w:val="-6"/>
                <w:sz w:val="22"/>
              </w:rPr>
              <w:t>万元</w:t>
            </w:r>
            <w:r>
              <w:rPr>
                <w:rFonts w:eastAsia="Tahoma"/>
                <w:bCs/>
                <w:snapToGrid w:val="0"/>
                <w:spacing w:val="-6"/>
                <w:sz w:val="22"/>
              </w:rPr>
              <w:t>/</w:t>
            </w:r>
            <w:r>
              <w:rPr>
                <w:bCs/>
                <w:snapToGrid w:val="0"/>
                <w:spacing w:val="-6"/>
                <w:sz w:val="22"/>
              </w:rPr>
              <w:t>次以内的违约金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vMerge w:val="restart"/>
            <w:tcBorders>
              <w:top w:val="single" w:color="auto" w:sz="6" w:space="0"/>
              <w:left w:val="single" w:color="auto" w:sz="12" w:space="0"/>
              <w:bottom w:val="single" w:color="auto" w:sz="12" w:space="0"/>
              <w:right w:val="single" w:color="auto" w:sz="6" w:space="0"/>
            </w:tcBorders>
            <w:vAlign w:val="center"/>
          </w:tcPr>
          <w:p>
            <w:pPr>
              <w:rPr>
                <w:szCs w:val="21"/>
              </w:rPr>
            </w:pPr>
            <w:r>
              <w:rPr>
                <w:sz w:val="22"/>
                <w:szCs w:val="21"/>
              </w:rPr>
              <w:t>22.1.1（10）</w:t>
            </w:r>
          </w:p>
        </w:tc>
        <w:tc>
          <w:tcPr>
            <w:tcW w:w="4530" w:type="dxa"/>
            <w:tcBorders>
              <w:top w:val="single" w:color="auto" w:sz="6" w:space="0"/>
              <w:left w:val="single" w:color="auto" w:sz="6" w:space="0"/>
              <w:bottom w:val="single" w:color="auto" w:sz="6" w:space="0"/>
              <w:right w:val="single" w:color="auto" w:sz="6" w:space="0"/>
            </w:tcBorders>
            <w:vAlign w:val="center"/>
          </w:tcPr>
          <w:p>
            <w:pPr>
              <w:pStyle w:val="46"/>
              <w:snapToGrid w:val="0"/>
              <w:rPr>
                <w:rFonts w:ascii="Times New Roman" w:hAnsi="Times New Roman"/>
                <w:bCs/>
                <w:snapToGrid w:val="0"/>
                <w:spacing w:val="-6"/>
              </w:rPr>
            </w:pPr>
            <w:r>
              <w:rPr>
                <w:rFonts w:ascii="Times New Roman" w:hAnsi="Times New Roman"/>
                <w:sz w:val="22"/>
                <w:szCs w:val="21"/>
              </w:rPr>
              <w:t>a．承包人在报价或签订合同阶段提供虚假资料</w:t>
            </w:r>
          </w:p>
        </w:tc>
        <w:tc>
          <w:tcPr>
            <w:tcW w:w="4008" w:type="dxa"/>
            <w:tcBorders>
              <w:top w:val="single" w:color="auto" w:sz="6" w:space="0"/>
              <w:left w:val="single" w:color="auto" w:sz="6" w:space="0"/>
              <w:bottom w:val="single" w:color="auto" w:sz="6" w:space="0"/>
              <w:right w:val="single" w:color="auto" w:sz="12" w:space="0"/>
            </w:tcBorders>
            <w:vAlign w:val="center"/>
          </w:tcPr>
          <w:p>
            <w:pPr>
              <w:rPr>
                <w:rFonts w:eastAsia="黑体"/>
                <w:bCs/>
                <w:snapToGrid w:val="0"/>
                <w:spacing w:val="-6"/>
              </w:rPr>
            </w:pPr>
            <w:r>
              <w:rPr>
                <w:bCs/>
                <w:snapToGrid w:val="0"/>
                <w:spacing w:val="-6"/>
                <w:sz w:val="22"/>
              </w:rPr>
              <w:t>课以承包人不超过合同总价</w:t>
            </w:r>
            <w:r>
              <w:rPr>
                <w:rFonts w:eastAsia="Tahoma"/>
                <w:bCs/>
                <w:snapToGrid w:val="0"/>
                <w:spacing w:val="-6"/>
                <w:sz w:val="22"/>
              </w:rPr>
              <w:t>10</w:t>
            </w:r>
            <w:r>
              <w:rPr>
                <w:bCs/>
                <w:snapToGrid w:val="0"/>
                <w:spacing w:val="-6"/>
                <w:sz w:val="22"/>
              </w:rPr>
              <w:t>％的违约金，同时将承包人弄虚作假行为上报省级交通运输主管部门，作为不良记录纳入公路建设市场信用信息管理系统。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vMerge w:val="continue"/>
            <w:tcBorders>
              <w:top w:val="single" w:color="auto" w:sz="6" w:space="0"/>
              <w:left w:val="single" w:color="auto" w:sz="12" w:space="0"/>
              <w:bottom w:val="single" w:color="auto" w:sz="12" w:space="0"/>
              <w:right w:val="single" w:color="auto" w:sz="6" w:space="0"/>
            </w:tcBorders>
            <w:vAlign w:val="center"/>
          </w:tcPr>
          <w:p>
            <w:pPr>
              <w:rPr>
                <w:szCs w:val="22"/>
              </w:rPr>
            </w:pPr>
          </w:p>
        </w:tc>
        <w:tc>
          <w:tcPr>
            <w:tcW w:w="4530" w:type="dxa"/>
            <w:tcBorders>
              <w:top w:val="single" w:color="auto" w:sz="6" w:space="0"/>
              <w:left w:val="single" w:color="auto" w:sz="6" w:space="0"/>
              <w:bottom w:val="single" w:color="auto" w:sz="6" w:space="0"/>
              <w:right w:val="single" w:color="auto" w:sz="6" w:space="0"/>
            </w:tcBorders>
            <w:vAlign w:val="center"/>
          </w:tcPr>
          <w:p>
            <w:pPr>
              <w:rPr>
                <w:szCs w:val="21"/>
              </w:rPr>
            </w:pPr>
            <w:r>
              <w:rPr>
                <w:sz w:val="22"/>
                <w:szCs w:val="21"/>
              </w:rPr>
              <w:t>b．未经发包人批准，项目经理、项目总工擅自离开工地现场</w:t>
            </w:r>
          </w:p>
        </w:tc>
        <w:tc>
          <w:tcPr>
            <w:tcW w:w="4008" w:type="dxa"/>
            <w:tcBorders>
              <w:top w:val="single" w:color="auto" w:sz="6" w:space="0"/>
              <w:left w:val="single" w:color="auto" w:sz="6" w:space="0"/>
              <w:bottom w:val="single" w:color="auto" w:sz="6" w:space="0"/>
              <w:right w:val="single" w:color="auto" w:sz="12" w:space="0"/>
            </w:tcBorders>
            <w:vAlign w:val="center"/>
          </w:tcPr>
          <w:p>
            <w:pPr>
              <w:rPr>
                <w:rFonts w:eastAsia="Tahoma"/>
                <w:bCs/>
                <w:snapToGrid w:val="0"/>
                <w:spacing w:val="-6"/>
              </w:rPr>
            </w:pPr>
            <w:r>
              <w:rPr>
                <w:bCs/>
                <w:snapToGrid w:val="0"/>
                <w:spacing w:val="-6"/>
                <w:sz w:val="22"/>
              </w:rPr>
              <w:t>课以承包人</w:t>
            </w:r>
            <w:r>
              <w:rPr>
                <w:rFonts w:eastAsia="Tahoma"/>
                <w:bCs/>
                <w:snapToGrid w:val="0"/>
                <w:spacing w:val="-6"/>
                <w:sz w:val="22"/>
              </w:rPr>
              <w:t>2000</w:t>
            </w:r>
            <w:r>
              <w:rPr>
                <w:bCs/>
                <w:snapToGrid w:val="0"/>
                <w:spacing w:val="-6"/>
                <w:sz w:val="22"/>
              </w:rPr>
              <w:t>元</w:t>
            </w:r>
            <w:r>
              <w:rPr>
                <w:rFonts w:eastAsia="Tahoma"/>
                <w:bCs/>
                <w:snapToGrid w:val="0"/>
                <w:spacing w:val="-6"/>
                <w:sz w:val="22"/>
              </w:rPr>
              <w:t>/</w:t>
            </w:r>
            <w:r>
              <w:rPr>
                <w:bCs/>
                <w:snapToGrid w:val="0"/>
                <w:spacing w:val="-6"/>
                <w:sz w:val="22"/>
              </w:rPr>
              <w:t>人·天的违约金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vMerge w:val="continue"/>
            <w:tcBorders>
              <w:top w:val="single" w:color="auto" w:sz="6" w:space="0"/>
              <w:left w:val="single" w:color="auto" w:sz="12" w:space="0"/>
              <w:bottom w:val="single" w:color="auto" w:sz="12" w:space="0"/>
              <w:right w:val="single" w:color="auto" w:sz="6" w:space="0"/>
            </w:tcBorders>
            <w:vAlign w:val="center"/>
          </w:tcPr>
          <w:p>
            <w:pPr>
              <w:rPr>
                <w:szCs w:val="22"/>
              </w:rPr>
            </w:pPr>
          </w:p>
        </w:tc>
        <w:tc>
          <w:tcPr>
            <w:tcW w:w="4530" w:type="dxa"/>
            <w:tcBorders>
              <w:top w:val="single" w:color="auto" w:sz="6" w:space="0"/>
              <w:left w:val="single" w:color="auto" w:sz="6" w:space="0"/>
              <w:bottom w:val="single" w:color="auto" w:sz="6" w:space="0"/>
              <w:right w:val="single" w:color="auto" w:sz="6" w:space="0"/>
            </w:tcBorders>
            <w:vAlign w:val="center"/>
          </w:tcPr>
          <w:p>
            <w:pPr>
              <w:rPr>
                <w:szCs w:val="21"/>
              </w:rPr>
            </w:pPr>
            <w:r>
              <w:rPr>
                <w:sz w:val="22"/>
                <w:szCs w:val="21"/>
              </w:rPr>
              <w:t>c．在各种报表、检查记录及检测、试验数据中作假</w:t>
            </w:r>
          </w:p>
        </w:tc>
        <w:tc>
          <w:tcPr>
            <w:tcW w:w="4008" w:type="dxa"/>
            <w:tcBorders>
              <w:top w:val="single" w:color="auto" w:sz="6" w:space="0"/>
              <w:left w:val="single" w:color="auto" w:sz="6" w:space="0"/>
              <w:bottom w:val="single" w:color="auto" w:sz="6" w:space="0"/>
              <w:right w:val="single" w:color="auto" w:sz="12" w:space="0"/>
            </w:tcBorders>
            <w:vAlign w:val="center"/>
          </w:tcPr>
          <w:p>
            <w:pPr>
              <w:rPr>
                <w:rFonts w:eastAsia="Tahoma"/>
                <w:bCs/>
                <w:snapToGrid w:val="0"/>
                <w:spacing w:val="-6"/>
              </w:rPr>
            </w:pPr>
            <w:r>
              <w:rPr>
                <w:bCs/>
                <w:snapToGrid w:val="0"/>
                <w:spacing w:val="-6"/>
                <w:sz w:val="22"/>
              </w:rPr>
              <w:t>课以承包人</w:t>
            </w:r>
            <w:r>
              <w:rPr>
                <w:rFonts w:eastAsia="Tahoma"/>
                <w:bCs/>
                <w:snapToGrid w:val="0"/>
                <w:spacing w:val="-6"/>
                <w:sz w:val="22"/>
              </w:rPr>
              <w:t>5000</w:t>
            </w:r>
            <w:r>
              <w:rPr>
                <w:bCs/>
                <w:snapToGrid w:val="0"/>
                <w:spacing w:val="-6"/>
                <w:sz w:val="22"/>
              </w:rPr>
              <w:t>元</w:t>
            </w:r>
            <w:r>
              <w:rPr>
                <w:rFonts w:eastAsia="Tahoma"/>
                <w:bCs/>
                <w:snapToGrid w:val="0"/>
                <w:spacing w:val="-6"/>
                <w:sz w:val="22"/>
              </w:rPr>
              <w:t>/</w:t>
            </w:r>
            <w:r>
              <w:rPr>
                <w:bCs/>
                <w:snapToGrid w:val="0"/>
                <w:spacing w:val="-6"/>
                <w:sz w:val="22"/>
              </w:rPr>
              <w:t>次的违约金，并追究当事人责任直至清除出场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vMerge w:val="continue"/>
            <w:tcBorders>
              <w:top w:val="single" w:color="auto" w:sz="6" w:space="0"/>
              <w:left w:val="single" w:color="auto" w:sz="12" w:space="0"/>
              <w:bottom w:val="single" w:color="auto" w:sz="12" w:space="0"/>
              <w:right w:val="single" w:color="auto" w:sz="6" w:space="0"/>
            </w:tcBorders>
            <w:vAlign w:val="center"/>
          </w:tcPr>
          <w:p>
            <w:pPr>
              <w:rPr>
                <w:szCs w:val="22"/>
              </w:rPr>
            </w:pPr>
          </w:p>
        </w:tc>
        <w:tc>
          <w:tcPr>
            <w:tcW w:w="4530" w:type="dxa"/>
            <w:tcBorders>
              <w:top w:val="single" w:color="auto" w:sz="6" w:space="0"/>
              <w:left w:val="single" w:color="auto" w:sz="6" w:space="0"/>
              <w:bottom w:val="single" w:color="auto" w:sz="6" w:space="0"/>
              <w:right w:val="single" w:color="auto" w:sz="6" w:space="0"/>
            </w:tcBorders>
            <w:vAlign w:val="center"/>
          </w:tcPr>
          <w:p>
            <w:pPr>
              <w:rPr>
                <w:szCs w:val="21"/>
              </w:rPr>
            </w:pPr>
            <w:r>
              <w:rPr>
                <w:sz w:val="22"/>
                <w:szCs w:val="21"/>
              </w:rPr>
              <w:t>d．对高速公路设施造成损坏或污染；</w:t>
            </w:r>
          </w:p>
        </w:tc>
        <w:tc>
          <w:tcPr>
            <w:tcW w:w="4008" w:type="dxa"/>
            <w:tcBorders>
              <w:top w:val="single" w:color="auto" w:sz="6" w:space="0"/>
              <w:left w:val="single" w:color="auto" w:sz="6" w:space="0"/>
              <w:bottom w:val="single" w:color="auto" w:sz="6" w:space="0"/>
              <w:right w:val="single" w:color="auto" w:sz="12" w:space="0"/>
            </w:tcBorders>
            <w:vAlign w:val="center"/>
          </w:tcPr>
          <w:p>
            <w:pPr>
              <w:rPr>
                <w:rFonts w:eastAsia="Tahoma"/>
                <w:bCs/>
                <w:snapToGrid w:val="0"/>
                <w:spacing w:val="-6"/>
              </w:rPr>
            </w:pPr>
            <w:r>
              <w:rPr>
                <w:bCs/>
                <w:snapToGrid w:val="0"/>
                <w:spacing w:val="-6"/>
                <w:sz w:val="22"/>
              </w:rPr>
              <w:t>承包人必须赔偿发包人或其他承包人损失，并视违约程度，课以承包人</w:t>
            </w:r>
            <w:r>
              <w:rPr>
                <w:rFonts w:eastAsia="Tahoma"/>
                <w:bCs/>
                <w:snapToGrid w:val="0"/>
                <w:spacing w:val="-6"/>
                <w:sz w:val="22"/>
              </w:rPr>
              <w:t>1</w:t>
            </w:r>
            <w:r>
              <w:rPr>
                <w:bCs/>
                <w:snapToGrid w:val="0"/>
                <w:spacing w:val="-6"/>
                <w:sz w:val="22"/>
              </w:rPr>
              <w:t>～</w:t>
            </w:r>
            <w:r>
              <w:rPr>
                <w:rFonts w:eastAsia="Tahoma"/>
                <w:bCs/>
                <w:snapToGrid w:val="0"/>
                <w:spacing w:val="-6"/>
                <w:sz w:val="22"/>
              </w:rPr>
              <w:t>2</w:t>
            </w:r>
            <w:r>
              <w:rPr>
                <w:bCs/>
                <w:snapToGrid w:val="0"/>
                <w:spacing w:val="-6"/>
                <w:sz w:val="22"/>
              </w:rPr>
              <w:t>万元</w:t>
            </w:r>
            <w:r>
              <w:rPr>
                <w:rFonts w:eastAsia="Tahoma"/>
                <w:bCs/>
                <w:snapToGrid w:val="0"/>
                <w:spacing w:val="-6"/>
                <w:sz w:val="22"/>
              </w:rPr>
              <w:t>/</w:t>
            </w:r>
            <w:r>
              <w:rPr>
                <w:bCs/>
                <w:snapToGrid w:val="0"/>
                <w:spacing w:val="-6"/>
                <w:sz w:val="22"/>
              </w:rPr>
              <w:t>次的违约金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vMerge w:val="continue"/>
            <w:tcBorders>
              <w:top w:val="single" w:color="auto" w:sz="6" w:space="0"/>
              <w:left w:val="single" w:color="auto" w:sz="12" w:space="0"/>
              <w:bottom w:val="single" w:color="auto" w:sz="12" w:space="0"/>
              <w:right w:val="single" w:color="auto" w:sz="6" w:space="0"/>
            </w:tcBorders>
            <w:vAlign w:val="center"/>
          </w:tcPr>
          <w:p>
            <w:pPr>
              <w:rPr>
                <w:szCs w:val="22"/>
              </w:rPr>
            </w:pPr>
          </w:p>
        </w:tc>
        <w:tc>
          <w:tcPr>
            <w:tcW w:w="4530" w:type="dxa"/>
            <w:tcBorders>
              <w:top w:val="single" w:color="auto" w:sz="6" w:space="0"/>
              <w:left w:val="single" w:color="auto" w:sz="6" w:space="0"/>
              <w:bottom w:val="single" w:color="auto" w:sz="6" w:space="0"/>
              <w:right w:val="single" w:color="auto" w:sz="6" w:space="0"/>
            </w:tcBorders>
            <w:vAlign w:val="center"/>
          </w:tcPr>
          <w:p>
            <w:pPr>
              <w:rPr>
                <w:szCs w:val="21"/>
              </w:rPr>
            </w:pPr>
            <w:r>
              <w:rPr>
                <w:sz w:val="22"/>
                <w:szCs w:val="21"/>
              </w:rPr>
              <w:t>e．</w:t>
            </w:r>
            <w:r>
              <w:rPr>
                <w:sz w:val="22"/>
              </w:rPr>
              <w:t>一贯或公然忽视履行其合同规定的义务，无视发包人事先的书面警告</w:t>
            </w:r>
          </w:p>
        </w:tc>
        <w:tc>
          <w:tcPr>
            <w:tcW w:w="4008" w:type="dxa"/>
            <w:tcBorders>
              <w:top w:val="single" w:color="auto" w:sz="6" w:space="0"/>
              <w:left w:val="single" w:color="auto" w:sz="6" w:space="0"/>
              <w:bottom w:val="single" w:color="auto" w:sz="6" w:space="0"/>
              <w:right w:val="single" w:color="auto" w:sz="12" w:space="0"/>
            </w:tcBorders>
            <w:vAlign w:val="center"/>
          </w:tcPr>
          <w:p>
            <w:pPr>
              <w:rPr>
                <w:rFonts w:eastAsia="Tahoma"/>
                <w:bCs/>
                <w:snapToGrid w:val="0"/>
                <w:spacing w:val="-6"/>
              </w:rPr>
            </w:pPr>
            <w:r>
              <w:rPr>
                <w:sz w:val="22"/>
              </w:rPr>
              <w:t>视情节轻重，进行警告或处违约金，违约金金额为1～5万元人民币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vMerge w:val="continue"/>
            <w:tcBorders>
              <w:top w:val="single" w:color="auto" w:sz="6" w:space="0"/>
              <w:left w:val="single" w:color="auto" w:sz="12" w:space="0"/>
              <w:bottom w:val="single" w:color="auto" w:sz="12" w:space="0"/>
              <w:right w:val="single" w:color="auto" w:sz="6" w:space="0"/>
            </w:tcBorders>
            <w:vAlign w:val="center"/>
          </w:tcPr>
          <w:p>
            <w:pPr>
              <w:rPr>
                <w:szCs w:val="22"/>
              </w:rPr>
            </w:pPr>
          </w:p>
        </w:tc>
        <w:tc>
          <w:tcPr>
            <w:tcW w:w="4530" w:type="dxa"/>
            <w:tcBorders>
              <w:top w:val="single" w:color="auto" w:sz="6" w:space="0"/>
              <w:left w:val="single" w:color="auto" w:sz="6" w:space="0"/>
              <w:bottom w:val="single" w:color="auto" w:sz="6" w:space="0"/>
              <w:right w:val="single" w:color="auto" w:sz="6" w:space="0"/>
            </w:tcBorders>
            <w:vAlign w:val="center"/>
          </w:tcPr>
          <w:p>
            <w:pPr>
              <w:pStyle w:val="46"/>
              <w:snapToGrid w:val="0"/>
              <w:rPr>
                <w:rFonts w:ascii="Times New Roman" w:hAnsi="Times New Roman"/>
              </w:rPr>
            </w:pPr>
            <w:r>
              <w:rPr>
                <w:rFonts w:ascii="Times New Roman" w:hAnsi="Times New Roman"/>
                <w:sz w:val="22"/>
              </w:rPr>
              <w:t>f．拆除工程的实施不能满足发包人时效性要求</w:t>
            </w:r>
          </w:p>
        </w:tc>
        <w:tc>
          <w:tcPr>
            <w:tcW w:w="4008" w:type="dxa"/>
            <w:tcBorders>
              <w:top w:val="single" w:color="auto" w:sz="6" w:space="0"/>
              <w:left w:val="single" w:color="auto" w:sz="6" w:space="0"/>
              <w:bottom w:val="single" w:color="auto" w:sz="6" w:space="0"/>
              <w:right w:val="single" w:color="auto" w:sz="12" w:space="0"/>
            </w:tcBorders>
            <w:vAlign w:val="center"/>
          </w:tcPr>
          <w:p>
            <w:pPr>
              <w:pStyle w:val="46"/>
              <w:snapToGrid w:val="0"/>
              <w:rPr>
                <w:rFonts w:ascii="Times New Roman" w:hAnsi="Times New Roman"/>
              </w:rPr>
            </w:pPr>
            <w:r>
              <w:rPr>
                <w:rFonts w:ascii="Times New Roman" w:hAnsi="Times New Roman"/>
                <w:bCs/>
                <w:snapToGrid w:val="0"/>
                <w:spacing w:val="-6"/>
                <w:sz w:val="22"/>
              </w:rPr>
              <w:t>发包人每次课以承包人</w:t>
            </w:r>
            <w:r>
              <w:rPr>
                <w:rFonts w:ascii="Times New Roman" w:hAnsi="Times New Roman" w:eastAsia="Tahoma"/>
                <w:bCs/>
                <w:snapToGrid w:val="0"/>
                <w:spacing w:val="-6"/>
                <w:sz w:val="22"/>
              </w:rPr>
              <w:t>1</w:t>
            </w:r>
            <w:r>
              <w:rPr>
                <w:rFonts w:ascii="Times New Roman" w:hAnsi="Times New Roman"/>
                <w:bCs/>
                <w:snapToGrid w:val="0"/>
                <w:spacing w:val="-6"/>
                <w:sz w:val="22"/>
              </w:rPr>
              <w:t>万</w:t>
            </w:r>
            <w:r>
              <w:rPr>
                <w:rFonts w:ascii="Times New Roman" w:hAnsi="Times New Roman"/>
                <w:sz w:val="22"/>
                <w:szCs w:val="21"/>
              </w:rPr>
              <w:t>元/次以内的违约金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vMerge w:val="continue"/>
            <w:tcBorders>
              <w:top w:val="single" w:color="auto" w:sz="6" w:space="0"/>
              <w:left w:val="single" w:color="auto" w:sz="12" w:space="0"/>
              <w:bottom w:val="single" w:color="auto" w:sz="12" w:space="0"/>
              <w:right w:val="single" w:color="auto" w:sz="6" w:space="0"/>
            </w:tcBorders>
            <w:vAlign w:val="center"/>
          </w:tcPr>
          <w:p>
            <w:pPr>
              <w:rPr>
                <w:szCs w:val="22"/>
              </w:rPr>
            </w:pPr>
          </w:p>
        </w:tc>
        <w:tc>
          <w:tcPr>
            <w:tcW w:w="4530" w:type="dxa"/>
            <w:tcBorders>
              <w:top w:val="single" w:color="auto" w:sz="6" w:space="0"/>
              <w:left w:val="single" w:color="auto" w:sz="6" w:space="0"/>
              <w:bottom w:val="single" w:color="auto" w:sz="6" w:space="0"/>
              <w:right w:val="single" w:color="auto" w:sz="6" w:space="0"/>
            </w:tcBorders>
            <w:vAlign w:val="center"/>
          </w:tcPr>
          <w:p>
            <w:pPr>
              <w:pStyle w:val="46"/>
              <w:snapToGrid w:val="0"/>
              <w:rPr>
                <w:rFonts w:ascii="Times New Roman" w:hAnsi="Times New Roman"/>
              </w:rPr>
            </w:pPr>
            <w:r>
              <w:rPr>
                <w:rFonts w:ascii="Times New Roman" w:hAnsi="Times New Roman"/>
                <w:sz w:val="22"/>
              </w:rPr>
              <w:t>g．在拆除施工过程及缺陷内，由于承包人责任出现质量问题、安全事故或其它问题</w:t>
            </w:r>
          </w:p>
        </w:tc>
        <w:tc>
          <w:tcPr>
            <w:tcW w:w="4008" w:type="dxa"/>
            <w:tcBorders>
              <w:top w:val="single" w:color="auto" w:sz="6" w:space="0"/>
              <w:left w:val="single" w:color="auto" w:sz="6" w:space="0"/>
              <w:bottom w:val="single" w:color="auto" w:sz="6" w:space="0"/>
              <w:right w:val="single" w:color="auto" w:sz="12" w:space="0"/>
            </w:tcBorders>
            <w:vAlign w:val="center"/>
          </w:tcPr>
          <w:p>
            <w:pPr>
              <w:pStyle w:val="46"/>
              <w:snapToGrid w:val="0"/>
              <w:rPr>
                <w:rFonts w:ascii="Times New Roman" w:hAnsi="Times New Roman"/>
              </w:rPr>
            </w:pPr>
            <w:r>
              <w:rPr>
                <w:rFonts w:ascii="Times New Roman" w:hAnsi="Times New Roman"/>
                <w:sz w:val="22"/>
              </w:rPr>
              <w:t>视其情节轻重，每次</w:t>
            </w:r>
            <w:r>
              <w:rPr>
                <w:rFonts w:ascii="Times New Roman" w:hAnsi="Times New Roman"/>
                <w:bCs/>
                <w:snapToGrid w:val="0"/>
                <w:spacing w:val="-6"/>
                <w:sz w:val="22"/>
              </w:rPr>
              <w:t>课以</w:t>
            </w:r>
            <w:r>
              <w:rPr>
                <w:rFonts w:ascii="Times New Roman" w:hAnsi="Times New Roman"/>
                <w:sz w:val="22"/>
              </w:rPr>
              <w:t>承包人人民币5～10万元的违约金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91" w:type="dxa"/>
            <w:vMerge w:val="continue"/>
            <w:tcBorders>
              <w:top w:val="single" w:color="auto" w:sz="6" w:space="0"/>
              <w:left w:val="single" w:color="auto" w:sz="12" w:space="0"/>
              <w:bottom w:val="single" w:color="auto" w:sz="12" w:space="0"/>
              <w:right w:val="single" w:color="auto" w:sz="6" w:space="0"/>
            </w:tcBorders>
            <w:vAlign w:val="center"/>
          </w:tcPr>
          <w:p>
            <w:pPr>
              <w:rPr>
                <w:szCs w:val="22"/>
              </w:rPr>
            </w:pPr>
          </w:p>
        </w:tc>
        <w:tc>
          <w:tcPr>
            <w:tcW w:w="4530" w:type="dxa"/>
            <w:tcBorders>
              <w:top w:val="single" w:color="auto" w:sz="6" w:space="0"/>
              <w:left w:val="single" w:color="auto" w:sz="6" w:space="0"/>
              <w:bottom w:val="single" w:color="auto" w:sz="6" w:space="0"/>
              <w:right w:val="single" w:color="auto" w:sz="6" w:space="0"/>
            </w:tcBorders>
            <w:vAlign w:val="center"/>
          </w:tcPr>
          <w:p>
            <w:r>
              <w:rPr>
                <w:sz w:val="22"/>
              </w:rPr>
              <w:t>h．在拆除合同执行期间，承包人在计量、变更中弄虚作假</w:t>
            </w:r>
          </w:p>
        </w:tc>
        <w:tc>
          <w:tcPr>
            <w:tcW w:w="4008" w:type="dxa"/>
            <w:tcBorders>
              <w:top w:val="single" w:color="auto" w:sz="6" w:space="0"/>
              <w:left w:val="single" w:color="auto" w:sz="6" w:space="0"/>
              <w:bottom w:val="single" w:color="auto" w:sz="6" w:space="0"/>
              <w:right w:val="single" w:color="auto" w:sz="12" w:space="0"/>
            </w:tcBorders>
            <w:vAlign w:val="center"/>
          </w:tcPr>
          <w:p>
            <w:pPr>
              <w:pStyle w:val="46"/>
              <w:snapToGrid w:val="0"/>
              <w:rPr>
                <w:rFonts w:ascii="Times New Roman" w:hAnsi="Times New Roman"/>
              </w:rPr>
            </w:pPr>
            <w:r>
              <w:rPr>
                <w:rFonts w:ascii="Times New Roman" w:hAnsi="Times New Roman"/>
                <w:sz w:val="22"/>
              </w:rPr>
              <w:t>扣回虚报工程量计量，对承包人</w:t>
            </w:r>
            <w:r>
              <w:rPr>
                <w:rFonts w:ascii="Times New Roman" w:hAnsi="Times New Roman"/>
                <w:bCs/>
                <w:snapToGrid w:val="0"/>
                <w:spacing w:val="-6"/>
                <w:sz w:val="22"/>
              </w:rPr>
              <w:t>课</w:t>
            </w:r>
            <w:r>
              <w:rPr>
                <w:rFonts w:ascii="Times New Roman" w:hAnsi="Times New Roman"/>
                <w:sz w:val="22"/>
              </w:rPr>
              <w:t>以虚报工程量5倍 金额的违约金，同时追究相关责任人的责任，情节严重的将直接终止合同并追究其法律责任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9" w:hRule="atLeast"/>
          <w:jc w:val="center"/>
        </w:trPr>
        <w:tc>
          <w:tcPr>
            <w:tcW w:w="1091" w:type="dxa"/>
            <w:vMerge w:val="continue"/>
            <w:tcBorders>
              <w:top w:val="single" w:color="auto" w:sz="6" w:space="0"/>
              <w:left w:val="single" w:color="auto" w:sz="12" w:space="0"/>
              <w:bottom w:val="single" w:color="auto" w:sz="12" w:space="0"/>
              <w:right w:val="single" w:color="auto" w:sz="6" w:space="0"/>
            </w:tcBorders>
            <w:vAlign w:val="center"/>
          </w:tcPr>
          <w:p>
            <w:pPr>
              <w:rPr>
                <w:szCs w:val="22"/>
              </w:rPr>
            </w:pPr>
          </w:p>
        </w:tc>
        <w:tc>
          <w:tcPr>
            <w:tcW w:w="4530" w:type="dxa"/>
            <w:tcBorders>
              <w:top w:val="single" w:color="auto" w:sz="6" w:space="0"/>
              <w:left w:val="single" w:color="auto" w:sz="6" w:space="0"/>
              <w:bottom w:val="single" w:color="auto" w:sz="12" w:space="0"/>
              <w:right w:val="single" w:color="auto" w:sz="6" w:space="0"/>
            </w:tcBorders>
            <w:vAlign w:val="center"/>
          </w:tcPr>
          <w:p>
            <w:r>
              <w:rPr>
                <w:rFonts w:hint="eastAsia"/>
                <w:sz w:val="22"/>
              </w:rPr>
              <w:t>i</w:t>
            </w:r>
            <w:r>
              <w:rPr>
                <w:sz w:val="22"/>
              </w:rPr>
              <w:t>.在发包人对承包人各种专项考评中和检查中发现的问题未按发包人规定时限和要求进行整改</w:t>
            </w:r>
          </w:p>
        </w:tc>
        <w:tc>
          <w:tcPr>
            <w:tcW w:w="4008" w:type="dxa"/>
            <w:tcBorders>
              <w:top w:val="single" w:color="auto" w:sz="6" w:space="0"/>
              <w:left w:val="single" w:color="auto" w:sz="6" w:space="0"/>
              <w:bottom w:val="single" w:color="auto" w:sz="12" w:space="0"/>
              <w:right w:val="single" w:color="auto" w:sz="12" w:space="0"/>
            </w:tcBorders>
            <w:vAlign w:val="center"/>
          </w:tcPr>
          <w:p>
            <w:r>
              <w:rPr>
                <w:b/>
                <w:sz w:val="22"/>
              </w:rPr>
              <w:t>发包人将按照合同约定扣除相关计量，并按500-5000元/处对承包人课以违约金，并有权终止合同</w:t>
            </w:r>
          </w:p>
        </w:tc>
      </w:tr>
    </w:tbl>
    <w:p>
      <w:pPr>
        <w:rPr>
          <w:sz w:val="24"/>
        </w:rPr>
      </w:pPr>
    </w:p>
    <w:p>
      <w:pPr>
        <w:rPr>
          <w:sz w:val="24"/>
        </w:rPr>
      </w:pPr>
    </w:p>
    <w:p>
      <w:pPr>
        <w:rPr>
          <w:sz w:val="24"/>
        </w:rPr>
      </w:pPr>
    </w:p>
    <w:p>
      <w:pPr>
        <w:spacing w:line="360" w:lineRule="auto"/>
        <w:rPr>
          <w:rFonts w:ascii="宋体" w:hAnsi="宋体" w:eastAsia="黑体"/>
          <w:sz w:val="24"/>
          <w:szCs w:val="28"/>
        </w:rPr>
      </w:pPr>
      <w:r>
        <w:br w:type="page"/>
      </w:r>
    </w:p>
    <w:p>
      <w:pPr>
        <w:spacing w:line="360" w:lineRule="auto"/>
        <w:rPr>
          <w:rFonts w:ascii="黑体" w:hAnsi="黑体" w:cs="黑体"/>
          <w:sz w:val="28"/>
          <w:szCs w:val="28"/>
        </w:rPr>
      </w:pPr>
      <w:bookmarkStart w:id="150" w:name="_Toc528058018"/>
      <w:r>
        <w:rPr>
          <w:rFonts w:hint="eastAsia" w:ascii="黑体" w:hAnsi="黑体" w:cs="黑体"/>
          <w:sz w:val="28"/>
          <w:szCs w:val="28"/>
        </w:rPr>
        <w:t>附件一：合同协议书</w:t>
      </w:r>
      <w:bookmarkEnd w:id="150"/>
    </w:p>
    <w:p>
      <w:pPr>
        <w:spacing w:line="440" w:lineRule="exact"/>
        <w:jc w:val="center"/>
        <w:rPr>
          <w:rFonts w:eastAsia="黑体"/>
          <w:sz w:val="27"/>
          <w:szCs w:val="27"/>
        </w:rPr>
      </w:pPr>
      <w:bookmarkStart w:id="151" w:name="_Toc510604058"/>
      <w:r>
        <w:rPr>
          <w:rFonts w:eastAsia="黑体"/>
          <w:sz w:val="27"/>
          <w:szCs w:val="27"/>
        </w:rPr>
        <w:t>合 同 协 议 书</w:t>
      </w:r>
    </w:p>
    <w:p>
      <w:pPr>
        <w:spacing w:line="380" w:lineRule="exact"/>
        <w:ind w:firstLine="440" w:firstLineChars="200"/>
        <w:rPr>
          <w:sz w:val="22"/>
          <w:u w:val="single"/>
        </w:rPr>
      </w:pPr>
    </w:p>
    <w:p>
      <w:pPr>
        <w:spacing w:line="360" w:lineRule="auto"/>
        <w:ind w:firstLine="440" w:firstLineChars="200"/>
        <w:rPr>
          <w:sz w:val="22"/>
          <w:szCs w:val="21"/>
        </w:rPr>
      </w:pPr>
      <w:r>
        <w:rPr>
          <w:sz w:val="22"/>
          <w:u w:val="single"/>
        </w:rPr>
        <w:t xml:space="preserve">          </w:t>
      </w:r>
      <w:r>
        <w:rPr>
          <w:sz w:val="22"/>
        </w:rPr>
        <w:t>（发包人名称，以下简称</w:t>
      </w:r>
      <w:r>
        <w:rPr>
          <w:rFonts w:hint="eastAsia"/>
          <w:sz w:val="22"/>
        </w:rPr>
        <w:t>“</w:t>
      </w:r>
      <w:r>
        <w:rPr>
          <w:sz w:val="22"/>
        </w:rPr>
        <w:t>发包人</w:t>
      </w:r>
      <w:r>
        <w:rPr>
          <w:rFonts w:hint="eastAsia"/>
          <w:sz w:val="22"/>
        </w:rPr>
        <w:t>”</w:t>
      </w:r>
      <w:r>
        <w:rPr>
          <w:sz w:val="22"/>
        </w:rPr>
        <w:t>）为实施</w:t>
      </w:r>
      <w:r>
        <w:rPr>
          <w:sz w:val="22"/>
          <w:u w:val="single"/>
        </w:rPr>
        <w:t xml:space="preserve">                  </w:t>
      </w:r>
      <w:r>
        <w:rPr>
          <w:sz w:val="22"/>
        </w:rPr>
        <w:t>（项目名称），已接受</w:t>
      </w:r>
      <w:r>
        <w:rPr>
          <w:sz w:val="22"/>
          <w:u w:val="single"/>
        </w:rPr>
        <w:t xml:space="preserve">        </w:t>
      </w:r>
      <w:r>
        <w:rPr>
          <w:sz w:val="22"/>
        </w:rPr>
        <w:t>（承包人名称，以下简称</w:t>
      </w:r>
      <w:r>
        <w:rPr>
          <w:rFonts w:hint="eastAsia"/>
          <w:sz w:val="22"/>
        </w:rPr>
        <w:t>“</w:t>
      </w:r>
      <w:r>
        <w:rPr>
          <w:sz w:val="22"/>
        </w:rPr>
        <w:t>承包人</w:t>
      </w:r>
      <w:r>
        <w:rPr>
          <w:rFonts w:hint="eastAsia"/>
          <w:sz w:val="22"/>
        </w:rPr>
        <w:t>”</w:t>
      </w:r>
      <w:r>
        <w:rPr>
          <w:sz w:val="22"/>
        </w:rPr>
        <w:t>） 对该项目的报价。发包人和承包人共同达成如下协议。</w:t>
      </w:r>
    </w:p>
    <w:p>
      <w:pPr>
        <w:spacing w:line="360" w:lineRule="auto"/>
        <w:ind w:firstLine="440" w:firstLineChars="200"/>
        <w:rPr>
          <w:sz w:val="22"/>
        </w:rPr>
      </w:pPr>
      <w:r>
        <w:rPr>
          <w:sz w:val="22"/>
        </w:rPr>
        <w:t>1、本项目主要工程内容包括：</w:t>
      </w:r>
      <w:r>
        <w:rPr>
          <w:sz w:val="22"/>
          <w:u w:val="single"/>
        </w:rPr>
        <w:t xml:space="preserve">                          </w:t>
      </w:r>
      <w:r>
        <w:rPr>
          <w:sz w:val="22"/>
        </w:rPr>
        <w:t>。</w:t>
      </w:r>
    </w:p>
    <w:p>
      <w:pPr>
        <w:spacing w:line="360" w:lineRule="auto"/>
        <w:ind w:firstLine="440" w:firstLineChars="200"/>
        <w:rPr>
          <w:sz w:val="22"/>
        </w:rPr>
      </w:pPr>
      <w:r>
        <w:rPr>
          <w:sz w:val="22"/>
        </w:rPr>
        <w:t>2、下列文件应视为构成合同文件的组成部分：</w:t>
      </w:r>
    </w:p>
    <w:p>
      <w:pPr>
        <w:spacing w:line="360" w:lineRule="auto"/>
        <w:ind w:firstLine="660" w:firstLineChars="300"/>
        <w:rPr>
          <w:sz w:val="22"/>
        </w:rPr>
      </w:pPr>
      <w:r>
        <w:rPr>
          <w:sz w:val="22"/>
        </w:rPr>
        <w:t>（1）本协议书及各种合同附件（含评审期间和合同谈判过程中的澄清文件和补充资料）；</w:t>
      </w:r>
    </w:p>
    <w:p>
      <w:pPr>
        <w:spacing w:line="360" w:lineRule="auto"/>
        <w:ind w:firstLine="660" w:firstLineChars="300"/>
        <w:rPr>
          <w:sz w:val="22"/>
        </w:rPr>
      </w:pPr>
      <w:r>
        <w:rPr>
          <w:sz w:val="22"/>
        </w:rPr>
        <w:t>（2）</w:t>
      </w:r>
      <w:r>
        <w:rPr>
          <w:rFonts w:hint="eastAsia"/>
          <w:sz w:val="22"/>
        </w:rPr>
        <w:t>成交通知书</w:t>
      </w:r>
      <w:r>
        <w:rPr>
          <w:sz w:val="22"/>
        </w:rPr>
        <w:t xml:space="preserve">； </w:t>
      </w:r>
    </w:p>
    <w:p>
      <w:pPr>
        <w:spacing w:line="360" w:lineRule="auto"/>
        <w:ind w:firstLine="660" w:firstLineChars="300"/>
        <w:rPr>
          <w:sz w:val="22"/>
        </w:rPr>
      </w:pPr>
      <w:r>
        <w:rPr>
          <w:sz w:val="22"/>
        </w:rPr>
        <w:t>（3）已标价工程量清单；</w:t>
      </w:r>
    </w:p>
    <w:p>
      <w:pPr>
        <w:spacing w:line="360" w:lineRule="auto"/>
        <w:ind w:firstLine="660" w:firstLineChars="300"/>
        <w:rPr>
          <w:sz w:val="22"/>
        </w:rPr>
      </w:pPr>
      <w:r>
        <w:rPr>
          <w:sz w:val="22"/>
        </w:rPr>
        <w:t>（4）报价函及报价函附录；</w:t>
      </w:r>
    </w:p>
    <w:p>
      <w:pPr>
        <w:spacing w:line="360" w:lineRule="auto"/>
        <w:ind w:firstLine="660" w:firstLineChars="300"/>
        <w:rPr>
          <w:sz w:val="22"/>
        </w:rPr>
      </w:pPr>
      <w:r>
        <w:rPr>
          <w:sz w:val="22"/>
        </w:rPr>
        <w:t>（5）项目专用合同条款；</w:t>
      </w:r>
    </w:p>
    <w:p>
      <w:pPr>
        <w:spacing w:line="360" w:lineRule="auto"/>
        <w:ind w:firstLine="660" w:firstLineChars="300"/>
        <w:rPr>
          <w:sz w:val="22"/>
        </w:rPr>
      </w:pPr>
      <w:r>
        <w:rPr>
          <w:sz w:val="22"/>
        </w:rPr>
        <w:t>（6）公路工程专用合同条款；</w:t>
      </w:r>
    </w:p>
    <w:p>
      <w:pPr>
        <w:spacing w:line="360" w:lineRule="auto"/>
        <w:ind w:firstLine="660" w:firstLineChars="300"/>
        <w:rPr>
          <w:sz w:val="22"/>
        </w:rPr>
      </w:pPr>
      <w:r>
        <w:rPr>
          <w:sz w:val="22"/>
        </w:rPr>
        <w:t xml:space="preserve">（7）通用合同条款； </w:t>
      </w:r>
    </w:p>
    <w:p>
      <w:pPr>
        <w:spacing w:line="360" w:lineRule="auto"/>
        <w:ind w:firstLine="660" w:firstLineChars="300"/>
        <w:rPr>
          <w:sz w:val="22"/>
        </w:rPr>
      </w:pPr>
      <w:r>
        <w:rPr>
          <w:sz w:val="22"/>
        </w:rPr>
        <w:t>（8）工程量清单计量规则；</w:t>
      </w:r>
    </w:p>
    <w:p>
      <w:pPr>
        <w:spacing w:line="360" w:lineRule="auto"/>
        <w:ind w:firstLine="660" w:firstLineChars="300"/>
        <w:rPr>
          <w:sz w:val="22"/>
        </w:rPr>
      </w:pPr>
      <w:r>
        <w:rPr>
          <w:sz w:val="22"/>
        </w:rPr>
        <w:t>（9）技术规范；</w:t>
      </w:r>
    </w:p>
    <w:p>
      <w:pPr>
        <w:spacing w:line="360" w:lineRule="auto"/>
        <w:ind w:firstLine="660" w:firstLineChars="300"/>
        <w:rPr>
          <w:sz w:val="22"/>
        </w:rPr>
      </w:pPr>
      <w:r>
        <w:rPr>
          <w:sz w:val="22"/>
        </w:rPr>
        <w:t>（10）图纸；</w:t>
      </w:r>
    </w:p>
    <w:p>
      <w:pPr>
        <w:spacing w:line="360" w:lineRule="auto"/>
        <w:ind w:firstLine="660" w:firstLineChars="300"/>
        <w:rPr>
          <w:sz w:val="22"/>
        </w:rPr>
      </w:pPr>
      <w:r>
        <w:rPr>
          <w:sz w:val="22"/>
        </w:rPr>
        <w:t>（11）承包人有关人员、设备投入的承诺及报价文件中的施工组织设计；</w:t>
      </w:r>
    </w:p>
    <w:p>
      <w:pPr>
        <w:spacing w:line="360" w:lineRule="auto"/>
        <w:ind w:firstLine="660" w:firstLineChars="300"/>
        <w:rPr>
          <w:sz w:val="22"/>
        </w:rPr>
      </w:pPr>
      <w:r>
        <w:rPr>
          <w:sz w:val="22"/>
        </w:rPr>
        <w:t>（12）其他合同文件。</w:t>
      </w:r>
    </w:p>
    <w:p>
      <w:pPr>
        <w:spacing w:line="360" w:lineRule="auto"/>
        <w:ind w:firstLine="440" w:firstLineChars="200"/>
        <w:rPr>
          <w:sz w:val="22"/>
        </w:rPr>
      </w:pPr>
      <w:r>
        <w:rPr>
          <w:sz w:val="22"/>
        </w:rPr>
        <w:t>3、上述文件互相补充和解释，如有不明确或不一致之处，以合同约定次序在先者为准。</w:t>
      </w:r>
    </w:p>
    <w:p>
      <w:pPr>
        <w:spacing w:line="360" w:lineRule="auto"/>
        <w:ind w:firstLine="440" w:firstLineChars="200"/>
        <w:rPr>
          <w:sz w:val="22"/>
        </w:rPr>
      </w:pPr>
      <w:r>
        <w:rPr>
          <w:sz w:val="22"/>
        </w:rPr>
        <w:t>4、根据工程量清单所列的预计数量和单价或总额价计算的签约合同价：人民币（大写）</w:t>
      </w:r>
      <w:r>
        <w:rPr>
          <w:sz w:val="22"/>
          <w:u w:val="single"/>
        </w:rPr>
        <w:t xml:space="preserve">     </w:t>
      </w:r>
      <w:r>
        <w:rPr>
          <w:sz w:val="22"/>
        </w:rPr>
        <w:t>元（￥</w:t>
      </w:r>
      <w:r>
        <w:rPr>
          <w:sz w:val="22"/>
          <w:u w:val="single"/>
        </w:rPr>
        <w:t xml:space="preserve">     </w:t>
      </w:r>
      <w:r>
        <w:rPr>
          <w:sz w:val="22"/>
        </w:rPr>
        <w:t xml:space="preserve"> ）。</w:t>
      </w:r>
    </w:p>
    <w:p>
      <w:pPr>
        <w:spacing w:line="360" w:lineRule="auto"/>
        <w:ind w:firstLine="440" w:firstLineChars="200"/>
        <w:rPr>
          <w:sz w:val="22"/>
        </w:rPr>
      </w:pPr>
      <w:r>
        <w:rPr>
          <w:sz w:val="22"/>
        </w:rPr>
        <w:t>5、承包人项目经理：</w:t>
      </w:r>
      <w:r>
        <w:rPr>
          <w:sz w:val="22"/>
          <w:u w:val="single"/>
        </w:rPr>
        <w:t xml:space="preserve">          </w:t>
      </w:r>
      <w:r>
        <w:rPr>
          <w:sz w:val="22"/>
        </w:rPr>
        <w:t>。承包人项目总工：</w:t>
      </w:r>
      <w:r>
        <w:rPr>
          <w:sz w:val="22"/>
          <w:u w:val="single"/>
        </w:rPr>
        <w:t xml:space="preserve">          </w:t>
      </w:r>
      <w:r>
        <w:rPr>
          <w:sz w:val="22"/>
        </w:rPr>
        <w:t>。</w:t>
      </w:r>
    </w:p>
    <w:p>
      <w:pPr>
        <w:pStyle w:val="20"/>
        <w:topLinePunct/>
        <w:spacing w:line="360" w:lineRule="auto"/>
        <w:ind w:firstLine="440" w:firstLineChars="200"/>
        <w:rPr>
          <w:rFonts w:ascii="Times New Roman"/>
          <w:sz w:val="22"/>
          <w:szCs w:val="21"/>
        </w:rPr>
      </w:pPr>
      <w:r>
        <w:rPr>
          <w:rFonts w:ascii="Times New Roman"/>
          <w:sz w:val="22"/>
          <w:szCs w:val="21"/>
        </w:rPr>
        <w:t>6、工程质量符合：</w:t>
      </w:r>
      <w:r>
        <w:rPr>
          <w:rFonts w:ascii="Times New Roman"/>
          <w:sz w:val="22"/>
          <w:szCs w:val="21"/>
          <w:u w:val="single"/>
        </w:rPr>
        <w:t xml:space="preserve">    </w:t>
      </w:r>
      <w:r>
        <w:rPr>
          <w:rFonts w:ascii="Times New Roman"/>
          <w:sz w:val="22"/>
          <w:szCs w:val="21"/>
        </w:rPr>
        <w:t>标准。</w:t>
      </w:r>
    </w:p>
    <w:p>
      <w:pPr>
        <w:spacing w:line="360" w:lineRule="auto"/>
        <w:ind w:firstLine="440" w:firstLineChars="200"/>
        <w:rPr>
          <w:sz w:val="22"/>
          <w:szCs w:val="21"/>
        </w:rPr>
      </w:pPr>
      <w:r>
        <w:rPr>
          <w:sz w:val="22"/>
        </w:rPr>
        <w:t>7、安全质量目标：</w:t>
      </w:r>
      <w:r>
        <w:rPr>
          <w:sz w:val="22"/>
          <w:szCs w:val="22"/>
        </w:rPr>
        <w:t>无安全责任事故。</w:t>
      </w:r>
    </w:p>
    <w:p>
      <w:pPr>
        <w:spacing w:line="360" w:lineRule="auto"/>
        <w:ind w:firstLine="440" w:firstLineChars="200"/>
        <w:rPr>
          <w:sz w:val="22"/>
        </w:rPr>
      </w:pPr>
      <w:r>
        <w:rPr>
          <w:sz w:val="22"/>
        </w:rPr>
        <w:t>8、承包人承诺按合同约定承担工程的实施、完成及缺陷修复。</w:t>
      </w:r>
    </w:p>
    <w:p>
      <w:pPr>
        <w:spacing w:line="360" w:lineRule="auto"/>
        <w:ind w:firstLine="440" w:firstLineChars="200"/>
        <w:rPr>
          <w:sz w:val="22"/>
        </w:rPr>
      </w:pPr>
      <w:r>
        <w:rPr>
          <w:sz w:val="22"/>
        </w:rPr>
        <w:t>9、发包人承诺按合同约定的条件、时间和方式向承包人支付合同价款。</w:t>
      </w:r>
    </w:p>
    <w:p>
      <w:pPr>
        <w:spacing w:line="360" w:lineRule="auto"/>
        <w:ind w:firstLine="440" w:firstLineChars="200"/>
        <w:rPr>
          <w:sz w:val="22"/>
        </w:rPr>
      </w:pPr>
      <w:r>
        <w:rPr>
          <w:sz w:val="22"/>
        </w:rPr>
        <w:t>10、承包人应按照监理人指示开工，工期为</w:t>
      </w:r>
      <w:r>
        <w:rPr>
          <w:sz w:val="22"/>
          <w:u w:val="single"/>
        </w:rPr>
        <w:t xml:space="preserve">     </w:t>
      </w:r>
      <w:r>
        <w:rPr>
          <w:sz w:val="22"/>
        </w:rPr>
        <w:t>月。</w:t>
      </w:r>
    </w:p>
    <w:p>
      <w:pPr>
        <w:autoSpaceDE w:val="0"/>
        <w:spacing w:line="360" w:lineRule="auto"/>
        <w:ind w:firstLine="440" w:firstLineChars="200"/>
        <w:rPr>
          <w:sz w:val="22"/>
        </w:rPr>
      </w:pPr>
      <w:r>
        <w:rPr>
          <w:sz w:val="22"/>
        </w:rPr>
        <w:t>11、本协议书在承包人提供履约担保后，由双方法定代表人或其委托代理人签署并加盖单位章后生效。全部工程完工后经交工验收合格、缺陷责任期满签发缺陷责任终止证书后失效。</w:t>
      </w:r>
    </w:p>
    <w:p>
      <w:pPr>
        <w:spacing w:line="360" w:lineRule="auto"/>
        <w:ind w:firstLine="440" w:firstLineChars="200"/>
        <w:rPr>
          <w:sz w:val="22"/>
        </w:rPr>
      </w:pPr>
      <w:r>
        <w:rPr>
          <w:sz w:val="22"/>
        </w:rPr>
        <w:t>12、本协议书正本二份、副本</w:t>
      </w:r>
      <w:r>
        <w:rPr>
          <w:sz w:val="22"/>
          <w:u w:val="single"/>
        </w:rPr>
        <w:t xml:space="preserve">     </w:t>
      </w:r>
      <w:r>
        <w:rPr>
          <w:sz w:val="22"/>
        </w:rPr>
        <w:t>份，合同双方各执正本一份，副本</w:t>
      </w:r>
      <w:r>
        <w:rPr>
          <w:sz w:val="22"/>
          <w:u w:val="single"/>
        </w:rPr>
        <w:t xml:space="preserve">     </w:t>
      </w:r>
      <w:r>
        <w:rPr>
          <w:sz w:val="22"/>
        </w:rPr>
        <w:t>份，当正本与副本的内容不一致时，以正本为准。</w:t>
      </w:r>
    </w:p>
    <w:p>
      <w:pPr>
        <w:spacing w:line="360" w:lineRule="auto"/>
        <w:ind w:firstLine="440" w:firstLineChars="200"/>
        <w:rPr>
          <w:sz w:val="22"/>
        </w:rPr>
      </w:pPr>
      <w:r>
        <w:rPr>
          <w:sz w:val="22"/>
        </w:rPr>
        <w:t>13、合同未尽事宜，双方另行签订补充协议。补充协议是合同的组成部分。</w:t>
      </w:r>
    </w:p>
    <w:p>
      <w:pPr>
        <w:spacing w:line="360" w:lineRule="auto"/>
        <w:rPr>
          <w:sz w:val="22"/>
        </w:rPr>
      </w:pPr>
    </w:p>
    <w:p>
      <w:pPr>
        <w:spacing w:line="360" w:lineRule="auto"/>
        <w:rPr>
          <w:sz w:val="22"/>
        </w:rPr>
      </w:pPr>
      <w:r>
        <w:rPr>
          <w:sz w:val="22"/>
        </w:rPr>
        <w:t>发包人：</w:t>
      </w:r>
      <w:r>
        <w:rPr>
          <w:sz w:val="22"/>
          <w:u w:val="single"/>
        </w:rPr>
        <w:t xml:space="preserve">               </w:t>
      </w:r>
      <w:r>
        <w:rPr>
          <w:sz w:val="22"/>
        </w:rPr>
        <w:t>（盖单位章）         承包人：</w:t>
      </w:r>
      <w:r>
        <w:rPr>
          <w:sz w:val="22"/>
          <w:u w:val="single"/>
        </w:rPr>
        <w:t xml:space="preserve">              </w:t>
      </w:r>
      <w:r>
        <w:rPr>
          <w:sz w:val="22"/>
        </w:rPr>
        <w:t>（盖单位章）</w:t>
      </w:r>
    </w:p>
    <w:p>
      <w:pPr>
        <w:spacing w:line="360" w:lineRule="auto"/>
        <w:rPr>
          <w:sz w:val="22"/>
        </w:rPr>
      </w:pPr>
      <w:r>
        <w:rPr>
          <w:sz w:val="22"/>
        </w:rPr>
        <w:t>法定代表人或其委托代理人：</w:t>
      </w:r>
      <w:r>
        <w:rPr>
          <w:sz w:val="22"/>
          <w:u w:val="single"/>
        </w:rPr>
        <w:t xml:space="preserve">    （</w:t>
      </w:r>
      <w:r>
        <w:rPr>
          <w:sz w:val="22"/>
        </w:rPr>
        <w:t>签字）      法定代表人或其委托代理人：</w:t>
      </w:r>
      <w:r>
        <w:rPr>
          <w:sz w:val="22"/>
          <w:u w:val="single"/>
        </w:rPr>
        <w:t xml:space="preserve">    （</w:t>
      </w:r>
      <w:r>
        <w:rPr>
          <w:sz w:val="22"/>
        </w:rPr>
        <w:t>签字）</w:t>
      </w:r>
    </w:p>
    <w:p>
      <w:pPr>
        <w:spacing w:line="360" w:lineRule="auto"/>
        <w:ind w:firstLine="330" w:firstLineChars="150"/>
        <w:rPr>
          <w:sz w:val="22"/>
        </w:rPr>
      </w:pPr>
      <w:r>
        <w:rPr>
          <w:sz w:val="22"/>
          <w:u w:val="single"/>
        </w:rPr>
        <w:t xml:space="preserve">         </w:t>
      </w:r>
      <w:r>
        <w:rPr>
          <w:sz w:val="22"/>
        </w:rPr>
        <w:t>年</w:t>
      </w:r>
      <w:r>
        <w:rPr>
          <w:sz w:val="22"/>
          <w:u w:val="single"/>
        </w:rPr>
        <w:t xml:space="preserve">       </w:t>
      </w:r>
      <w:r>
        <w:rPr>
          <w:sz w:val="22"/>
        </w:rPr>
        <w:t xml:space="preserve">月 </w:t>
      </w:r>
      <w:r>
        <w:rPr>
          <w:sz w:val="22"/>
          <w:u w:val="single"/>
        </w:rPr>
        <w:t xml:space="preserve">    </w:t>
      </w:r>
      <w:r>
        <w:rPr>
          <w:sz w:val="22"/>
        </w:rPr>
        <w:t xml:space="preserve"> 日             </w:t>
      </w:r>
      <w:r>
        <w:rPr>
          <w:sz w:val="22"/>
          <w:u w:val="single"/>
        </w:rPr>
        <w:t xml:space="preserve">         </w:t>
      </w:r>
      <w:r>
        <w:rPr>
          <w:sz w:val="22"/>
        </w:rPr>
        <w:t>年</w:t>
      </w:r>
      <w:r>
        <w:rPr>
          <w:sz w:val="22"/>
          <w:u w:val="single"/>
        </w:rPr>
        <w:t xml:space="preserve">       </w:t>
      </w:r>
      <w:r>
        <w:rPr>
          <w:sz w:val="22"/>
        </w:rPr>
        <w:t xml:space="preserve">月 </w:t>
      </w:r>
      <w:r>
        <w:rPr>
          <w:sz w:val="22"/>
          <w:u w:val="single"/>
        </w:rPr>
        <w:t xml:space="preserve">       </w:t>
      </w:r>
      <w:r>
        <w:rPr>
          <w:sz w:val="22"/>
        </w:rPr>
        <w:t xml:space="preserve"> 日</w:t>
      </w:r>
    </w:p>
    <w:p>
      <w:pPr>
        <w:spacing w:line="440" w:lineRule="exact"/>
        <w:rPr>
          <w:rFonts w:eastAsia="黑体"/>
          <w:sz w:val="24"/>
        </w:rPr>
        <w:sectPr>
          <w:footnotePr>
            <w:numFmt w:val="decimalEnclosedCircleChinese"/>
            <w:numRestart w:val="eachPage"/>
          </w:footnotePr>
          <w:pgSz w:w="11906" w:h="16838"/>
          <w:pgMar w:top="1417" w:right="1417" w:bottom="1417" w:left="1417" w:header="851" w:footer="992" w:gutter="0"/>
          <w:pgNumType w:fmt="numberInDash"/>
          <w:cols w:space="720" w:num="1"/>
          <w:docGrid w:type="lines" w:linePitch="312" w:charSpace="0"/>
        </w:sectPr>
      </w:pPr>
    </w:p>
    <w:p>
      <w:pPr>
        <w:spacing w:line="440" w:lineRule="exact"/>
        <w:rPr>
          <w:rFonts w:eastAsia="黑体"/>
          <w:sz w:val="24"/>
        </w:rPr>
      </w:pPr>
      <w:r>
        <w:rPr>
          <w:rFonts w:eastAsia="黑体"/>
          <w:sz w:val="24"/>
        </w:rPr>
        <w:t>附件二：廉政合同</w:t>
      </w:r>
    </w:p>
    <w:p>
      <w:pPr>
        <w:spacing w:line="440" w:lineRule="exact"/>
        <w:jc w:val="center"/>
        <w:rPr>
          <w:rFonts w:eastAsia="黑体"/>
          <w:sz w:val="27"/>
          <w:szCs w:val="27"/>
        </w:rPr>
      </w:pPr>
      <w:r>
        <w:rPr>
          <w:rFonts w:eastAsia="黑体"/>
          <w:sz w:val="27"/>
          <w:szCs w:val="27"/>
        </w:rPr>
        <w:t>廉 政 合 同</w:t>
      </w:r>
    </w:p>
    <w:p>
      <w:pPr>
        <w:spacing w:line="400" w:lineRule="atLeast"/>
        <w:rPr>
          <w:rFonts w:eastAsia="黑体"/>
          <w:b/>
          <w:bCs/>
          <w:spacing w:val="30"/>
          <w:sz w:val="23"/>
          <w:szCs w:val="23"/>
        </w:rPr>
      </w:pPr>
      <w:r>
        <w:rPr>
          <w:rFonts w:eastAsia="黑体"/>
          <w:b/>
          <w:bCs/>
          <w:spacing w:val="30"/>
          <w:sz w:val="23"/>
          <w:szCs w:val="23"/>
        </w:rPr>
        <w:t xml:space="preserve"> </w:t>
      </w:r>
    </w:p>
    <w:p>
      <w:pPr>
        <w:spacing w:line="400" w:lineRule="atLeast"/>
        <w:ind w:firstLine="565" w:firstLineChars="257"/>
        <w:rPr>
          <w:sz w:val="22"/>
          <w:szCs w:val="21"/>
        </w:rPr>
      </w:pPr>
      <w:r>
        <w:rPr>
          <w:sz w:val="22"/>
        </w:rPr>
        <w:t>根据《关于在交通基础设施建设中加强廉政建设的若干意见》以及有关工程建设、廉政建设的规定，为做好工程建设中的党风廉政建设，保证工程建设高效优质，保证建设资金的安全和有效使用以及投资效益，</w:t>
      </w:r>
      <w:r>
        <w:rPr>
          <w:sz w:val="22"/>
          <w:u w:val="single"/>
        </w:rPr>
        <w:t xml:space="preserve">            </w:t>
      </w:r>
      <w:r>
        <w:rPr>
          <w:sz w:val="22"/>
        </w:rPr>
        <w:t>（项目名称）的项目法人</w:t>
      </w:r>
      <w:r>
        <w:rPr>
          <w:sz w:val="22"/>
          <w:u w:val="single"/>
        </w:rPr>
        <w:t xml:space="preserve">        </w:t>
      </w:r>
      <w:r>
        <w:rPr>
          <w:sz w:val="22"/>
        </w:rPr>
        <w:t>（项目法人名称，以下简称</w:t>
      </w:r>
      <w:r>
        <w:rPr>
          <w:rFonts w:hint="eastAsia"/>
          <w:sz w:val="22"/>
        </w:rPr>
        <w:t>“</w:t>
      </w:r>
      <w:r>
        <w:rPr>
          <w:sz w:val="22"/>
        </w:rPr>
        <w:t>发包人</w:t>
      </w:r>
      <w:r>
        <w:rPr>
          <w:rFonts w:hint="eastAsia"/>
          <w:sz w:val="22"/>
        </w:rPr>
        <w:t>”</w:t>
      </w:r>
      <w:r>
        <w:rPr>
          <w:sz w:val="22"/>
        </w:rPr>
        <w:t>）与该项目的施工单位</w:t>
      </w:r>
      <w:r>
        <w:rPr>
          <w:sz w:val="22"/>
          <w:u w:val="single"/>
        </w:rPr>
        <w:t xml:space="preserve">        </w:t>
      </w:r>
      <w:r>
        <w:rPr>
          <w:sz w:val="22"/>
        </w:rPr>
        <w:t>（施工单位名称，以下简称</w:t>
      </w:r>
      <w:r>
        <w:rPr>
          <w:rFonts w:hint="eastAsia"/>
          <w:sz w:val="22"/>
        </w:rPr>
        <w:t>“</w:t>
      </w:r>
      <w:r>
        <w:rPr>
          <w:sz w:val="22"/>
        </w:rPr>
        <w:t>承包人</w:t>
      </w:r>
      <w:r>
        <w:rPr>
          <w:rFonts w:hint="eastAsia"/>
          <w:sz w:val="22"/>
        </w:rPr>
        <w:t>”</w:t>
      </w:r>
      <w:r>
        <w:rPr>
          <w:sz w:val="22"/>
        </w:rPr>
        <w:t>），特订立如下合同。</w:t>
      </w:r>
    </w:p>
    <w:p>
      <w:pPr>
        <w:spacing w:line="400" w:lineRule="atLeast"/>
        <w:ind w:firstLine="565" w:firstLineChars="257"/>
        <w:rPr>
          <w:rFonts w:eastAsia="黑体"/>
          <w:sz w:val="22"/>
        </w:rPr>
      </w:pPr>
      <w:r>
        <w:rPr>
          <w:rFonts w:eastAsia="黑体"/>
          <w:sz w:val="22"/>
        </w:rPr>
        <w:t>1. 发包人和承包人双方的权利和义务</w:t>
      </w:r>
    </w:p>
    <w:p>
      <w:pPr>
        <w:spacing w:line="400" w:lineRule="atLeast"/>
        <w:ind w:firstLine="565" w:firstLineChars="257"/>
        <w:rPr>
          <w:sz w:val="22"/>
        </w:rPr>
      </w:pPr>
      <w:r>
        <w:rPr>
          <w:sz w:val="22"/>
        </w:rPr>
        <w:t>（1） 严格遵守党的政策规定和国家有关法律法规及交通运输部的有关规定。</w:t>
      </w:r>
    </w:p>
    <w:p>
      <w:pPr>
        <w:spacing w:line="400" w:lineRule="atLeast"/>
        <w:ind w:firstLine="565" w:firstLineChars="257"/>
        <w:rPr>
          <w:sz w:val="22"/>
        </w:rPr>
      </w:pPr>
      <w:r>
        <w:rPr>
          <w:sz w:val="22"/>
        </w:rPr>
        <w:t>（2） 严格执行</w:t>
      </w:r>
      <w:r>
        <w:rPr>
          <w:sz w:val="22"/>
          <w:u w:val="single"/>
        </w:rPr>
        <w:t xml:space="preserve">         </w:t>
      </w:r>
      <w:r>
        <w:rPr>
          <w:sz w:val="22"/>
        </w:rPr>
        <w:t>（项目名称）施工合同文件，自觉按合同办事。</w:t>
      </w:r>
    </w:p>
    <w:p>
      <w:pPr>
        <w:spacing w:line="400" w:lineRule="atLeast"/>
        <w:ind w:firstLine="565" w:firstLineChars="257"/>
        <w:rPr>
          <w:sz w:val="22"/>
        </w:rPr>
      </w:pPr>
      <w:r>
        <w:rPr>
          <w:sz w:val="22"/>
        </w:rPr>
        <w:t>（3） 双方的业务活动坚持公开、公正、诚信、透明的原则（法律认定的商业秘密和合同文件另有规定除外），不得损害国家和集体利益，不得违反工程建设管理规章制度。</w:t>
      </w:r>
    </w:p>
    <w:p>
      <w:pPr>
        <w:spacing w:line="400" w:lineRule="atLeast"/>
        <w:ind w:firstLine="565" w:firstLineChars="257"/>
        <w:rPr>
          <w:sz w:val="22"/>
        </w:rPr>
      </w:pPr>
      <w:r>
        <w:rPr>
          <w:sz w:val="22"/>
        </w:rPr>
        <w:t>（4） 建立健全廉政制度，开展廉政教育，设立廉政告示牌，公布举报电话，监督并认真查处违法违纪行为。</w:t>
      </w:r>
    </w:p>
    <w:p>
      <w:pPr>
        <w:spacing w:line="400" w:lineRule="atLeast"/>
        <w:ind w:firstLine="565" w:firstLineChars="257"/>
        <w:rPr>
          <w:sz w:val="22"/>
        </w:rPr>
      </w:pPr>
      <w:r>
        <w:rPr>
          <w:sz w:val="22"/>
        </w:rPr>
        <w:t>（5） 发现对方在业务活动中有违反廉政规定的行为，有及时提醒对方纠正的权利和义务。</w:t>
      </w:r>
    </w:p>
    <w:p>
      <w:pPr>
        <w:spacing w:line="400" w:lineRule="atLeast"/>
        <w:ind w:firstLine="565" w:firstLineChars="257"/>
        <w:rPr>
          <w:sz w:val="22"/>
        </w:rPr>
      </w:pPr>
      <w:r>
        <w:rPr>
          <w:sz w:val="22"/>
        </w:rPr>
        <w:t>（6） 发现对方严重违反本合同义务条款的行为，有向其上级有关部门举报、建议给予处理并要求告知处理结果的权利。</w:t>
      </w:r>
    </w:p>
    <w:p>
      <w:pPr>
        <w:spacing w:line="400" w:lineRule="atLeast"/>
        <w:ind w:firstLine="565" w:firstLineChars="257"/>
        <w:rPr>
          <w:rFonts w:eastAsia="黑体"/>
          <w:sz w:val="22"/>
        </w:rPr>
      </w:pPr>
      <w:r>
        <w:rPr>
          <w:rFonts w:eastAsia="黑体"/>
          <w:sz w:val="22"/>
        </w:rPr>
        <w:t>2. 发包人的义务</w:t>
      </w:r>
    </w:p>
    <w:p>
      <w:pPr>
        <w:spacing w:line="400" w:lineRule="atLeast"/>
        <w:ind w:firstLine="565" w:firstLineChars="257"/>
        <w:rPr>
          <w:sz w:val="22"/>
        </w:rPr>
      </w:pPr>
      <w:r>
        <w:rPr>
          <w:sz w:val="22"/>
        </w:rPr>
        <w:t>（1） 发包人及其工作人员不得索要或接受承包人的礼金、有价证券和贵重物品，不得让承包人报销任何应由发包人或发包人工作人员个人支付的费用等。</w:t>
      </w:r>
    </w:p>
    <w:p>
      <w:pPr>
        <w:spacing w:line="400" w:lineRule="atLeast"/>
        <w:ind w:firstLine="565" w:firstLineChars="257"/>
        <w:rPr>
          <w:sz w:val="22"/>
        </w:rPr>
      </w:pPr>
      <w:r>
        <w:rPr>
          <w:sz w:val="22"/>
        </w:rPr>
        <w:t>（2） 发包人工作人员不得参加承包人安排的超标准宴请和娱乐活动；不得接受承包人提供的通讯工具、交通工具和高档办公用品等。</w:t>
      </w:r>
    </w:p>
    <w:p>
      <w:pPr>
        <w:spacing w:line="400" w:lineRule="atLeast"/>
        <w:ind w:firstLine="565" w:firstLineChars="257"/>
        <w:rPr>
          <w:sz w:val="22"/>
        </w:rPr>
      </w:pPr>
      <w:r>
        <w:rPr>
          <w:sz w:val="22"/>
        </w:rPr>
        <w:t>（3） 发包人及其工作人员不得要求或者接受承包人为其住房装修、婚丧嫁娶活动、配偶子女的工作安排以及出国出境、旅游等提供方便等。</w:t>
      </w:r>
    </w:p>
    <w:p>
      <w:pPr>
        <w:spacing w:line="400" w:lineRule="atLeast"/>
        <w:ind w:firstLine="565" w:firstLineChars="257"/>
        <w:rPr>
          <w:sz w:val="22"/>
        </w:rPr>
      </w:pPr>
      <w:r>
        <w:rPr>
          <w:sz w:val="22"/>
        </w:rPr>
        <w:t>（4） 发包人工作人员及其配偶、子女不得从事与发包人工程有关的材料设备供应、工程分包、劳务等经济活动等。</w:t>
      </w:r>
    </w:p>
    <w:p>
      <w:pPr>
        <w:spacing w:line="400" w:lineRule="atLeast"/>
        <w:ind w:firstLine="565" w:firstLineChars="257"/>
        <w:rPr>
          <w:sz w:val="22"/>
        </w:rPr>
      </w:pPr>
      <w:r>
        <w:rPr>
          <w:sz w:val="22"/>
        </w:rPr>
        <w:t>（5） 发包人及其工作人员不得以任何理由向承包人推荐分包单位或推销材料，不得要求承包人购买合同规定外的材料和设备。</w:t>
      </w:r>
    </w:p>
    <w:p>
      <w:pPr>
        <w:spacing w:line="400" w:lineRule="atLeast"/>
        <w:ind w:firstLine="565" w:firstLineChars="257"/>
        <w:rPr>
          <w:sz w:val="22"/>
        </w:rPr>
      </w:pPr>
      <w:r>
        <w:rPr>
          <w:sz w:val="22"/>
        </w:rPr>
        <w:t>（6） 发包人工作人员要秉公办事，不准营私舞弊，不准利用职权从事各种个人有偿中介活动和安排个人施工队伍。</w:t>
      </w:r>
    </w:p>
    <w:p>
      <w:pPr>
        <w:spacing w:line="400" w:lineRule="atLeast"/>
        <w:ind w:firstLine="565" w:firstLineChars="257"/>
        <w:rPr>
          <w:rFonts w:eastAsia="黑体"/>
          <w:sz w:val="22"/>
        </w:rPr>
      </w:pPr>
      <w:r>
        <w:rPr>
          <w:sz w:val="22"/>
        </w:rPr>
        <w:br w:type="page"/>
      </w:r>
      <w:r>
        <w:rPr>
          <w:rFonts w:eastAsia="黑体"/>
          <w:sz w:val="22"/>
        </w:rPr>
        <w:t>3. 承包人的义务</w:t>
      </w:r>
    </w:p>
    <w:p>
      <w:pPr>
        <w:spacing w:line="400" w:lineRule="atLeast"/>
        <w:ind w:firstLine="565" w:firstLineChars="257"/>
        <w:rPr>
          <w:sz w:val="22"/>
        </w:rPr>
      </w:pPr>
      <w:r>
        <w:rPr>
          <w:sz w:val="22"/>
        </w:rPr>
        <w:t>（1） 承包人不得以任何理由向发包人及其工作人员行贿或馈赠礼金、有价证券、贵重礼品。</w:t>
      </w:r>
    </w:p>
    <w:p>
      <w:pPr>
        <w:spacing w:line="400" w:lineRule="atLeast"/>
        <w:ind w:firstLine="565" w:firstLineChars="257"/>
        <w:rPr>
          <w:sz w:val="22"/>
        </w:rPr>
      </w:pPr>
      <w:r>
        <w:rPr>
          <w:sz w:val="22"/>
        </w:rPr>
        <w:t>（2） 承包人不得以任何名义为发包人及其工作人员报销应由发包人单位或个人支付的任何费用。</w:t>
      </w:r>
    </w:p>
    <w:p>
      <w:pPr>
        <w:spacing w:line="400" w:lineRule="atLeast"/>
        <w:ind w:firstLine="565" w:firstLineChars="257"/>
        <w:rPr>
          <w:sz w:val="22"/>
        </w:rPr>
      </w:pPr>
      <w:r>
        <w:rPr>
          <w:sz w:val="22"/>
        </w:rPr>
        <w:t>（3） 承包人不得以任何理由安排发包人工作人员参加超标准宴请及娱乐活动。</w:t>
      </w:r>
    </w:p>
    <w:p>
      <w:pPr>
        <w:spacing w:line="400" w:lineRule="atLeast"/>
        <w:ind w:firstLine="565" w:firstLineChars="257"/>
        <w:rPr>
          <w:sz w:val="22"/>
        </w:rPr>
      </w:pPr>
      <w:r>
        <w:rPr>
          <w:sz w:val="22"/>
        </w:rPr>
        <w:t>（4） 承包人不得为发包人单位和个人购置或提供通信工具、交通工具和高档办公用品等。</w:t>
      </w:r>
    </w:p>
    <w:p>
      <w:pPr>
        <w:spacing w:line="400" w:lineRule="atLeast"/>
        <w:ind w:firstLine="565" w:firstLineChars="257"/>
        <w:rPr>
          <w:rFonts w:eastAsia="黑体"/>
          <w:sz w:val="22"/>
        </w:rPr>
      </w:pPr>
      <w:r>
        <w:rPr>
          <w:rFonts w:eastAsia="黑体"/>
          <w:sz w:val="22"/>
        </w:rPr>
        <w:t>4. 违约责任</w:t>
      </w:r>
    </w:p>
    <w:p>
      <w:pPr>
        <w:spacing w:line="400" w:lineRule="atLeast"/>
        <w:ind w:firstLine="565" w:firstLineChars="257"/>
        <w:rPr>
          <w:sz w:val="22"/>
        </w:rPr>
      </w:pPr>
      <w:r>
        <w:rPr>
          <w:sz w:val="22"/>
        </w:rPr>
        <w:t>（1） 发包人及其工作人员违反本合同第1、2条，按管理权限，依据有关规定给予党纪、政纪或组织处理；涉嫌犯罪的，移交司法机关追究刑事责任；给承包人单位造成经济损失的，应予以赔偿。</w:t>
      </w:r>
    </w:p>
    <w:p>
      <w:pPr>
        <w:spacing w:line="400" w:lineRule="atLeast"/>
        <w:ind w:firstLine="565" w:firstLineChars="257"/>
        <w:rPr>
          <w:sz w:val="22"/>
        </w:rPr>
      </w:pPr>
      <w:r>
        <w:rPr>
          <w:sz w:val="22"/>
        </w:rPr>
        <w:t>（2） 承包人及其工作人员违反本合同第1、3条，按管理权限，依据有关规定给予党纪、政纪或组织处理；给发包人单位造成经济损失的，应予以赔偿；情节严重的，发包人建议交通运输主管部门给予承包人一至三年内不得进入其主管的公路建设市场的处罚。</w:t>
      </w:r>
    </w:p>
    <w:p>
      <w:pPr>
        <w:spacing w:line="400" w:lineRule="atLeast"/>
        <w:ind w:firstLine="565" w:firstLineChars="257"/>
        <w:rPr>
          <w:sz w:val="22"/>
        </w:rPr>
      </w:pPr>
      <w:r>
        <w:rPr>
          <w:rFonts w:eastAsia="黑体"/>
          <w:sz w:val="22"/>
        </w:rPr>
        <w:t>5.</w:t>
      </w:r>
      <w:r>
        <w:rPr>
          <w:sz w:val="22"/>
        </w:rPr>
        <w:t xml:space="preserve"> 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400" w:lineRule="atLeast"/>
        <w:ind w:firstLine="565" w:firstLineChars="257"/>
        <w:rPr>
          <w:sz w:val="22"/>
        </w:rPr>
      </w:pPr>
      <w:r>
        <w:rPr>
          <w:rFonts w:eastAsia="黑体"/>
          <w:sz w:val="22"/>
        </w:rPr>
        <w:t xml:space="preserve">6. </w:t>
      </w:r>
      <w:r>
        <w:rPr>
          <w:sz w:val="22"/>
        </w:rPr>
        <w:t>本合同有效期为发包人和承包人签署之日起至该工程项目竣工验收后止。</w:t>
      </w:r>
    </w:p>
    <w:p>
      <w:pPr>
        <w:spacing w:line="400" w:lineRule="atLeast"/>
        <w:ind w:firstLine="565" w:firstLineChars="257"/>
        <w:rPr>
          <w:sz w:val="22"/>
        </w:rPr>
      </w:pPr>
      <w:r>
        <w:rPr>
          <w:rFonts w:eastAsia="黑体"/>
          <w:sz w:val="22"/>
        </w:rPr>
        <w:t xml:space="preserve">7. </w:t>
      </w:r>
      <w:r>
        <w:rPr>
          <w:sz w:val="22"/>
        </w:rPr>
        <w:t>本合同作为</w:t>
      </w:r>
      <w:r>
        <w:rPr>
          <w:sz w:val="22"/>
          <w:u w:val="single"/>
        </w:rPr>
        <w:t xml:space="preserve">         </w:t>
      </w:r>
      <w:r>
        <w:rPr>
          <w:sz w:val="22"/>
        </w:rPr>
        <w:t>（项目名称）施工合同的附件，与工程施工合同具有同等的法律效力，经合同双方签署后立即生效。</w:t>
      </w:r>
    </w:p>
    <w:p>
      <w:pPr>
        <w:spacing w:line="400" w:lineRule="atLeast"/>
        <w:ind w:firstLine="565" w:firstLineChars="257"/>
        <w:rPr>
          <w:sz w:val="22"/>
        </w:rPr>
      </w:pPr>
      <w:r>
        <w:rPr>
          <w:rFonts w:eastAsia="黑体"/>
          <w:sz w:val="22"/>
        </w:rPr>
        <w:t>8.</w:t>
      </w:r>
      <w:r>
        <w:rPr>
          <w:sz w:val="22"/>
        </w:rPr>
        <w:t xml:space="preserve"> 本合同一式四份，由发包人和承包人各执一份，送交发包人和承包人的监督单位各一份。</w:t>
      </w:r>
    </w:p>
    <w:p>
      <w:pPr>
        <w:spacing w:line="400" w:lineRule="atLeast"/>
        <w:rPr>
          <w:sz w:val="22"/>
        </w:rPr>
      </w:pPr>
      <w:r>
        <w:rPr>
          <w:sz w:val="22"/>
        </w:rPr>
        <w:t xml:space="preserve"> </w:t>
      </w:r>
    </w:p>
    <w:p>
      <w:pPr>
        <w:spacing w:line="440" w:lineRule="exact"/>
        <w:rPr>
          <w:sz w:val="22"/>
        </w:rPr>
      </w:pPr>
      <w:r>
        <w:rPr>
          <w:sz w:val="22"/>
        </w:rPr>
        <w:t>发包人：</w:t>
      </w:r>
      <w:r>
        <w:rPr>
          <w:sz w:val="22"/>
          <w:u w:val="single"/>
        </w:rPr>
        <w:t xml:space="preserve">               </w:t>
      </w:r>
      <w:r>
        <w:rPr>
          <w:sz w:val="22"/>
        </w:rPr>
        <w:t>（盖单位章）         承包人：</w:t>
      </w:r>
      <w:r>
        <w:rPr>
          <w:sz w:val="22"/>
          <w:u w:val="single"/>
        </w:rPr>
        <w:t xml:space="preserve">              </w:t>
      </w:r>
      <w:r>
        <w:rPr>
          <w:sz w:val="22"/>
        </w:rPr>
        <w:t>（盖单位章）</w:t>
      </w:r>
    </w:p>
    <w:p>
      <w:pPr>
        <w:spacing w:line="440" w:lineRule="exact"/>
        <w:rPr>
          <w:sz w:val="22"/>
        </w:rPr>
      </w:pPr>
      <w:r>
        <w:rPr>
          <w:sz w:val="22"/>
        </w:rPr>
        <w:t>法定代表人或其委托代理人：</w:t>
      </w:r>
      <w:r>
        <w:rPr>
          <w:sz w:val="22"/>
          <w:u w:val="single"/>
        </w:rPr>
        <w:t xml:space="preserve">    （</w:t>
      </w:r>
      <w:r>
        <w:rPr>
          <w:sz w:val="22"/>
        </w:rPr>
        <w:t>签字）      法定代表人或其委托代理人：</w:t>
      </w:r>
      <w:r>
        <w:rPr>
          <w:sz w:val="22"/>
          <w:u w:val="single"/>
        </w:rPr>
        <w:t xml:space="preserve">    （</w:t>
      </w:r>
      <w:r>
        <w:rPr>
          <w:sz w:val="22"/>
        </w:rPr>
        <w:t>签字）</w:t>
      </w:r>
    </w:p>
    <w:p>
      <w:pPr>
        <w:spacing w:line="440" w:lineRule="exact"/>
        <w:ind w:firstLine="330" w:firstLineChars="150"/>
        <w:rPr>
          <w:sz w:val="22"/>
        </w:rPr>
      </w:pPr>
      <w:r>
        <w:rPr>
          <w:sz w:val="22"/>
          <w:u w:val="single"/>
        </w:rPr>
        <w:t xml:space="preserve">         </w:t>
      </w:r>
      <w:r>
        <w:rPr>
          <w:sz w:val="22"/>
        </w:rPr>
        <w:t>年</w:t>
      </w:r>
      <w:r>
        <w:rPr>
          <w:sz w:val="22"/>
          <w:u w:val="single"/>
        </w:rPr>
        <w:t xml:space="preserve">       </w:t>
      </w:r>
      <w:r>
        <w:rPr>
          <w:sz w:val="22"/>
        </w:rPr>
        <w:t xml:space="preserve">月 </w:t>
      </w:r>
      <w:r>
        <w:rPr>
          <w:sz w:val="22"/>
          <w:u w:val="single"/>
        </w:rPr>
        <w:t xml:space="preserve">    </w:t>
      </w:r>
      <w:r>
        <w:rPr>
          <w:sz w:val="22"/>
        </w:rPr>
        <w:t xml:space="preserve"> 日             </w:t>
      </w:r>
      <w:r>
        <w:rPr>
          <w:sz w:val="22"/>
          <w:u w:val="single"/>
        </w:rPr>
        <w:t xml:space="preserve">         </w:t>
      </w:r>
      <w:r>
        <w:rPr>
          <w:sz w:val="22"/>
        </w:rPr>
        <w:t>年</w:t>
      </w:r>
      <w:r>
        <w:rPr>
          <w:sz w:val="22"/>
          <w:u w:val="single"/>
        </w:rPr>
        <w:t xml:space="preserve">       </w:t>
      </w:r>
      <w:r>
        <w:rPr>
          <w:sz w:val="22"/>
        </w:rPr>
        <w:t xml:space="preserve">月 </w:t>
      </w:r>
      <w:r>
        <w:rPr>
          <w:sz w:val="22"/>
          <w:u w:val="single"/>
        </w:rPr>
        <w:t xml:space="preserve">       </w:t>
      </w:r>
      <w:r>
        <w:rPr>
          <w:sz w:val="22"/>
        </w:rPr>
        <w:t xml:space="preserve"> 日</w:t>
      </w:r>
    </w:p>
    <w:p>
      <w:pPr>
        <w:spacing w:line="440" w:lineRule="exact"/>
        <w:ind w:firstLine="330" w:firstLineChars="150"/>
        <w:rPr>
          <w:sz w:val="22"/>
        </w:rPr>
      </w:pPr>
      <w:r>
        <w:rPr>
          <w:sz w:val="22"/>
        </w:rPr>
        <w:t xml:space="preserve"> </w:t>
      </w:r>
    </w:p>
    <w:p>
      <w:pPr>
        <w:spacing w:line="400" w:lineRule="atLeast"/>
        <w:rPr>
          <w:sz w:val="22"/>
          <w:u w:val="single"/>
        </w:rPr>
      </w:pPr>
      <w:r>
        <w:rPr>
          <w:sz w:val="22"/>
        </w:rPr>
        <w:t>发包人监督单位：</w:t>
      </w:r>
      <w:r>
        <w:rPr>
          <w:sz w:val="22"/>
          <w:u w:val="single"/>
        </w:rPr>
        <w:t>（全称）  （盖单位章）</w:t>
      </w:r>
      <w:r>
        <w:rPr>
          <w:sz w:val="22"/>
        </w:rPr>
        <w:t xml:space="preserve">         承包人监督单位：</w:t>
      </w:r>
      <w:r>
        <w:rPr>
          <w:sz w:val="22"/>
          <w:u w:val="single"/>
        </w:rPr>
        <w:t>（全称）  （盖单位章）</w:t>
      </w:r>
    </w:p>
    <w:p>
      <w:pPr>
        <w:spacing w:line="400" w:lineRule="atLeast"/>
        <w:rPr>
          <w:sz w:val="23"/>
          <w:szCs w:val="23"/>
        </w:rPr>
      </w:pPr>
      <w:r>
        <w:rPr>
          <w:sz w:val="23"/>
          <w:szCs w:val="23"/>
        </w:rPr>
        <w:t xml:space="preserve"> </w:t>
      </w:r>
    </w:p>
    <w:p>
      <w:pPr>
        <w:spacing w:line="400" w:lineRule="atLeast"/>
        <w:rPr>
          <w:rFonts w:eastAsia="黑体"/>
          <w:sz w:val="23"/>
          <w:szCs w:val="23"/>
        </w:rPr>
      </w:pPr>
      <w:r>
        <w:rPr>
          <w:sz w:val="23"/>
          <w:szCs w:val="23"/>
        </w:rPr>
        <w:br w:type="page"/>
      </w:r>
      <w:r>
        <w:rPr>
          <w:rFonts w:eastAsia="黑体"/>
          <w:sz w:val="23"/>
          <w:szCs w:val="23"/>
        </w:rPr>
        <w:t>附件三：安全生产合同</w:t>
      </w:r>
    </w:p>
    <w:p>
      <w:pPr>
        <w:spacing w:line="390" w:lineRule="atLeast"/>
        <w:jc w:val="center"/>
        <w:rPr>
          <w:rFonts w:eastAsia="黑体"/>
          <w:sz w:val="27"/>
          <w:szCs w:val="27"/>
        </w:rPr>
      </w:pPr>
      <w:r>
        <w:rPr>
          <w:rFonts w:eastAsia="黑体"/>
          <w:sz w:val="27"/>
          <w:szCs w:val="27"/>
        </w:rPr>
        <w:t>安全生产合同</w:t>
      </w:r>
    </w:p>
    <w:p>
      <w:pPr>
        <w:spacing w:line="390" w:lineRule="atLeast"/>
        <w:rPr>
          <w:rFonts w:eastAsia="黑体"/>
          <w:b/>
          <w:bCs/>
          <w:sz w:val="23"/>
          <w:szCs w:val="23"/>
        </w:rPr>
      </w:pPr>
      <w:r>
        <w:rPr>
          <w:rFonts w:eastAsia="黑体"/>
          <w:b/>
          <w:bCs/>
          <w:sz w:val="23"/>
          <w:szCs w:val="23"/>
        </w:rPr>
        <w:t xml:space="preserve"> </w:t>
      </w:r>
    </w:p>
    <w:p>
      <w:pPr>
        <w:spacing w:line="336" w:lineRule="auto"/>
        <w:ind w:firstLine="565" w:firstLineChars="257"/>
        <w:rPr>
          <w:sz w:val="22"/>
          <w:szCs w:val="21"/>
        </w:rPr>
      </w:pPr>
      <w:r>
        <w:rPr>
          <w:sz w:val="22"/>
        </w:rPr>
        <w:t>为在</w:t>
      </w:r>
      <w:r>
        <w:rPr>
          <w:sz w:val="22"/>
          <w:u w:val="single"/>
        </w:rPr>
        <w:t xml:space="preserve">             </w:t>
      </w:r>
      <w:r>
        <w:rPr>
          <w:sz w:val="22"/>
        </w:rPr>
        <w:t>（项目名称）施工合同的实施过程中创造安全、高效的施工环境，切实搞好本项目的安全管理工作，本项目发包人</w:t>
      </w:r>
      <w:r>
        <w:rPr>
          <w:sz w:val="22"/>
          <w:u w:val="single"/>
        </w:rPr>
        <w:t xml:space="preserve">           </w:t>
      </w:r>
      <w:r>
        <w:rPr>
          <w:sz w:val="22"/>
        </w:rPr>
        <w:t>（发包人名称，以下简称</w:t>
      </w:r>
      <w:r>
        <w:rPr>
          <w:rFonts w:hint="eastAsia"/>
          <w:sz w:val="22"/>
        </w:rPr>
        <w:t>“</w:t>
      </w:r>
      <w:r>
        <w:rPr>
          <w:sz w:val="22"/>
        </w:rPr>
        <w:t>发包人</w:t>
      </w:r>
      <w:r>
        <w:rPr>
          <w:rFonts w:hint="eastAsia"/>
          <w:sz w:val="22"/>
        </w:rPr>
        <w:t>”</w:t>
      </w:r>
      <w:r>
        <w:rPr>
          <w:sz w:val="22"/>
        </w:rPr>
        <w:t>）与承包人</w:t>
      </w:r>
      <w:r>
        <w:rPr>
          <w:sz w:val="22"/>
          <w:u w:val="single"/>
        </w:rPr>
        <w:t xml:space="preserve">            </w:t>
      </w:r>
      <w:r>
        <w:rPr>
          <w:sz w:val="22"/>
        </w:rPr>
        <w:t>（承包人名称，以下简称</w:t>
      </w:r>
      <w:r>
        <w:rPr>
          <w:rFonts w:hint="eastAsia"/>
          <w:sz w:val="22"/>
        </w:rPr>
        <w:t>“</w:t>
      </w:r>
      <w:r>
        <w:rPr>
          <w:sz w:val="22"/>
        </w:rPr>
        <w:t>承包人</w:t>
      </w:r>
      <w:r>
        <w:rPr>
          <w:rFonts w:hint="eastAsia"/>
          <w:sz w:val="22"/>
        </w:rPr>
        <w:t>”</w:t>
      </w:r>
      <w:r>
        <w:rPr>
          <w:sz w:val="22"/>
        </w:rPr>
        <w:t>）特此签订安全生产合同：</w:t>
      </w:r>
    </w:p>
    <w:p>
      <w:pPr>
        <w:spacing w:line="336" w:lineRule="auto"/>
        <w:ind w:firstLine="565" w:firstLineChars="257"/>
        <w:rPr>
          <w:rFonts w:eastAsia="黑体"/>
          <w:sz w:val="22"/>
        </w:rPr>
      </w:pPr>
      <w:r>
        <w:rPr>
          <w:rFonts w:eastAsia="黑体"/>
          <w:sz w:val="22"/>
        </w:rPr>
        <w:t>1.发包人职责</w:t>
      </w:r>
    </w:p>
    <w:p>
      <w:pPr>
        <w:spacing w:line="336" w:lineRule="auto"/>
        <w:ind w:firstLine="565" w:firstLineChars="257"/>
        <w:rPr>
          <w:sz w:val="22"/>
        </w:rPr>
      </w:pPr>
      <w:r>
        <w:rPr>
          <w:sz w:val="22"/>
        </w:rPr>
        <w:t>（1） 严格遵守国家有关安全生产的法律法规，认真执行工程承包合同中的有关安全要求。</w:t>
      </w:r>
    </w:p>
    <w:p>
      <w:pPr>
        <w:spacing w:line="336" w:lineRule="auto"/>
        <w:ind w:firstLine="565" w:firstLineChars="257"/>
        <w:rPr>
          <w:sz w:val="22"/>
        </w:rPr>
      </w:pPr>
      <w:r>
        <w:rPr>
          <w:sz w:val="22"/>
        </w:rPr>
        <w:t>（2） 按照</w:t>
      </w:r>
      <w:r>
        <w:rPr>
          <w:rFonts w:hint="eastAsia"/>
          <w:sz w:val="22"/>
        </w:rPr>
        <w:t>“</w:t>
      </w:r>
      <w:r>
        <w:rPr>
          <w:sz w:val="22"/>
        </w:rPr>
        <w:t>安全第一、预防为主、综合治理</w:t>
      </w:r>
      <w:r>
        <w:rPr>
          <w:rFonts w:hint="eastAsia"/>
          <w:sz w:val="22"/>
        </w:rPr>
        <w:t>”</w:t>
      </w:r>
      <w:r>
        <w:rPr>
          <w:sz w:val="22"/>
        </w:rPr>
        <w:t>和坚持</w:t>
      </w:r>
      <w:r>
        <w:rPr>
          <w:rFonts w:hint="eastAsia"/>
          <w:sz w:val="22"/>
        </w:rPr>
        <w:t>“</w:t>
      </w:r>
      <w:r>
        <w:rPr>
          <w:sz w:val="22"/>
        </w:rPr>
        <w:t>管生产必须管安全</w:t>
      </w:r>
      <w:r>
        <w:rPr>
          <w:rFonts w:hint="eastAsia"/>
          <w:sz w:val="22"/>
        </w:rPr>
        <w:t>”</w:t>
      </w:r>
      <w:r>
        <w:rPr>
          <w:sz w:val="22"/>
        </w:rPr>
        <w:t>的原则进行安全生产管理，做到生产与安全工作同时计划、布置、检查、总结和评比。</w:t>
      </w:r>
    </w:p>
    <w:p>
      <w:pPr>
        <w:spacing w:line="336" w:lineRule="auto"/>
        <w:ind w:firstLine="565" w:firstLineChars="257"/>
        <w:rPr>
          <w:sz w:val="22"/>
        </w:rPr>
      </w:pPr>
      <w:r>
        <w:rPr>
          <w:sz w:val="22"/>
        </w:rPr>
        <w:t>（3） 重要的安全设施必须坚持与主体工程</w:t>
      </w:r>
      <w:r>
        <w:rPr>
          <w:rFonts w:hint="eastAsia"/>
          <w:sz w:val="22"/>
        </w:rPr>
        <w:t>“</w:t>
      </w:r>
      <w:r>
        <w:rPr>
          <w:sz w:val="22"/>
        </w:rPr>
        <w:t>三同时</w:t>
      </w:r>
      <w:r>
        <w:rPr>
          <w:rFonts w:hint="eastAsia"/>
          <w:sz w:val="22"/>
        </w:rPr>
        <w:t>”</w:t>
      </w:r>
      <w:r>
        <w:rPr>
          <w:sz w:val="22"/>
        </w:rPr>
        <w:t>的原则，即：同时设计、审批，同时施工，同时验收，投入使用。</w:t>
      </w:r>
    </w:p>
    <w:p>
      <w:pPr>
        <w:spacing w:line="336" w:lineRule="auto"/>
        <w:ind w:firstLine="565" w:firstLineChars="257"/>
        <w:rPr>
          <w:sz w:val="22"/>
        </w:rPr>
      </w:pPr>
      <w:r>
        <w:rPr>
          <w:sz w:val="22"/>
        </w:rPr>
        <w:t>（4） 定期召开安全生产调度会，及时传达中央及地方有关安全生产的精神。</w:t>
      </w:r>
    </w:p>
    <w:p>
      <w:pPr>
        <w:spacing w:line="336" w:lineRule="auto"/>
        <w:ind w:firstLine="565" w:firstLineChars="257"/>
        <w:rPr>
          <w:sz w:val="22"/>
        </w:rPr>
      </w:pPr>
      <w:r>
        <w:rPr>
          <w:sz w:val="22"/>
        </w:rPr>
        <w:t>（5） 组织对承包人施工现场进行安全生产检查，监督承包人及时处理发现的各种安全隐患。</w:t>
      </w:r>
    </w:p>
    <w:p>
      <w:pPr>
        <w:spacing w:line="336" w:lineRule="auto"/>
        <w:ind w:firstLine="565" w:firstLineChars="257"/>
        <w:rPr>
          <w:rFonts w:eastAsia="黑体"/>
          <w:sz w:val="22"/>
        </w:rPr>
      </w:pPr>
      <w:r>
        <w:rPr>
          <w:rFonts w:eastAsia="黑体"/>
          <w:sz w:val="22"/>
        </w:rPr>
        <w:t>2.承包人职责</w:t>
      </w:r>
    </w:p>
    <w:p>
      <w:pPr>
        <w:spacing w:line="336" w:lineRule="auto"/>
        <w:ind w:firstLine="565" w:firstLineChars="257"/>
        <w:rPr>
          <w:sz w:val="22"/>
        </w:rPr>
      </w:pPr>
      <w:r>
        <w:rPr>
          <w:sz w:val="22"/>
        </w:rPr>
        <w:t>（1） 严格遵守《中华人民共和国安全生产法》、《建设工程安全生产管理条例》等国家有关安全生产的法律法规等有关安全生产的规定。认真执行工程承包合同中的有关安全要求。</w:t>
      </w:r>
    </w:p>
    <w:p>
      <w:pPr>
        <w:spacing w:line="336" w:lineRule="auto"/>
        <w:ind w:firstLine="565" w:firstLineChars="257"/>
        <w:rPr>
          <w:sz w:val="22"/>
        </w:rPr>
      </w:pPr>
      <w:r>
        <w:rPr>
          <w:sz w:val="22"/>
        </w:rPr>
        <w:t>（2） 坚持</w:t>
      </w:r>
      <w:r>
        <w:rPr>
          <w:rFonts w:hint="eastAsia"/>
          <w:sz w:val="22"/>
        </w:rPr>
        <w:t>“</w:t>
      </w:r>
      <w:r>
        <w:rPr>
          <w:sz w:val="22"/>
        </w:rPr>
        <w:t>安全第一、预防为主、综合治理</w:t>
      </w:r>
      <w:r>
        <w:rPr>
          <w:rFonts w:hint="eastAsia"/>
          <w:sz w:val="22"/>
        </w:rPr>
        <w:t>”</w:t>
      </w:r>
      <w:r>
        <w:rPr>
          <w:sz w:val="22"/>
        </w:rPr>
        <w:t>和</w:t>
      </w:r>
      <w:r>
        <w:rPr>
          <w:rFonts w:hint="eastAsia"/>
          <w:sz w:val="22"/>
        </w:rPr>
        <w:t>“</w:t>
      </w:r>
      <w:r>
        <w:rPr>
          <w:sz w:val="22"/>
        </w:rPr>
        <w:t>管生产必须管安全</w:t>
      </w:r>
      <w:r>
        <w:rPr>
          <w:rFonts w:hint="eastAsia"/>
          <w:sz w:val="22"/>
        </w:rPr>
        <w:t>”</w:t>
      </w:r>
      <w:r>
        <w:rPr>
          <w:sz w:val="22"/>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36" w:lineRule="auto"/>
        <w:ind w:firstLine="565" w:firstLineChars="257"/>
        <w:rPr>
          <w:sz w:val="22"/>
        </w:rPr>
      </w:pPr>
      <w:r>
        <w:rPr>
          <w:sz w:val="22"/>
        </w:rPr>
        <w:t>（3） 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有关规定的最低数量和资质条件配备专职安全生产管理人员，专职负责所有员工的安全和治安保卫工作及预防事故的发生。安全机构人员有权按有关规定发布指令，并采取保护性措施防止事故发生。</w:t>
      </w:r>
    </w:p>
    <w:p>
      <w:pPr>
        <w:spacing w:line="336" w:lineRule="auto"/>
        <w:ind w:firstLine="565" w:firstLineChars="257"/>
        <w:rPr>
          <w:sz w:val="22"/>
        </w:rPr>
      </w:pPr>
      <w:r>
        <w:rPr>
          <w:sz w:val="22"/>
        </w:rPr>
        <w:t>（4） 承包人在任何时候都应采取各种合理的预防措施，防止其员工发生任何违法、违禁、暴力或妨碍治安的行为。</w:t>
      </w:r>
    </w:p>
    <w:p>
      <w:pPr>
        <w:spacing w:line="336" w:lineRule="auto"/>
        <w:ind w:firstLine="565" w:firstLineChars="257"/>
        <w:rPr>
          <w:sz w:val="22"/>
        </w:rPr>
      </w:pPr>
      <w:r>
        <w:rPr>
          <w:sz w:val="22"/>
        </w:rPr>
        <w:t>（5） 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336" w:lineRule="auto"/>
        <w:ind w:firstLine="565" w:firstLineChars="257"/>
        <w:rPr>
          <w:sz w:val="22"/>
        </w:rPr>
      </w:pPr>
      <w:r>
        <w:rPr>
          <w:sz w:val="22"/>
        </w:rPr>
        <w:t>（6） 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36" w:lineRule="auto"/>
        <w:ind w:firstLine="565" w:firstLineChars="257"/>
        <w:rPr>
          <w:sz w:val="22"/>
        </w:rPr>
      </w:pPr>
      <w:r>
        <w:rPr>
          <w:sz w:val="22"/>
        </w:rPr>
        <w:t>（7） 操作人员上岗，必须按规定穿戴防护用品。施工负责人和安全检查员应随时检查劳动防护用品的穿戴情况，不按规定穿戴防护用品的人员不得上岗。</w:t>
      </w:r>
    </w:p>
    <w:p>
      <w:pPr>
        <w:spacing w:line="336" w:lineRule="auto"/>
        <w:ind w:firstLine="565" w:firstLineChars="257"/>
        <w:rPr>
          <w:sz w:val="22"/>
        </w:rPr>
      </w:pPr>
      <w:r>
        <w:rPr>
          <w:sz w:val="22"/>
        </w:rPr>
        <w:t>（8） 所有施工机具设备和高空作业的设备均应定期检查，并有安全员的签字记录，保证其经常处于完好状态；不合格的机具、设备和劳动保护用品严禁使用。</w:t>
      </w:r>
    </w:p>
    <w:p>
      <w:pPr>
        <w:spacing w:line="336" w:lineRule="auto"/>
        <w:ind w:firstLine="565" w:firstLineChars="257"/>
        <w:rPr>
          <w:sz w:val="22"/>
        </w:rPr>
      </w:pPr>
      <w:r>
        <w:rPr>
          <w:sz w:val="22"/>
        </w:rPr>
        <w:t>（9） 施工中采用新技术、新工艺、新设备、新材料时，必须制定相应的安全技术措施，施工现场必须具有相关的安全标志牌。</w:t>
      </w:r>
    </w:p>
    <w:p>
      <w:pPr>
        <w:spacing w:line="336" w:lineRule="auto"/>
        <w:ind w:firstLine="565" w:firstLineChars="257"/>
        <w:rPr>
          <w:sz w:val="22"/>
        </w:rPr>
      </w:pPr>
      <w:r>
        <w:rPr>
          <w:sz w:val="22"/>
        </w:rPr>
        <w:t>（10） 承包人必须按照本工程项目特点，组织制定本工程实施中的生产安全事故应急救援预案；如果发生安全事故，应按照《国务院关于特大安全事故行政责任追究的规定》以及其他有关规定，及时上报有关部门，并坚持</w:t>
      </w:r>
      <w:r>
        <w:rPr>
          <w:rFonts w:hint="eastAsia"/>
          <w:sz w:val="22"/>
        </w:rPr>
        <w:t>“</w:t>
      </w:r>
      <w:r>
        <w:rPr>
          <w:sz w:val="22"/>
        </w:rPr>
        <w:t>四不放过</w:t>
      </w:r>
      <w:r>
        <w:rPr>
          <w:rFonts w:hint="eastAsia"/>
          <w:sz w:val="22"/>
        </w:rPr>
        <w:t>”</w:t>
      </w:r>
      <w:r>
        <w:rPr>
          <w:sz w:val="22"/>
        </w:rPr>
        <w:t>的原则，严肃处理相关责任人。</w:t>
      </w:r>
    </w:p>
    <w:p>
      <w:pPr>
        <w:spacing w:line="336" w:lineRule="auto"/>
        <w:ind w:firstLine="565" w:firstLineChars="257"/>
        <w:rPr>
          <w:sz w:val="22"/>
        </w:rPr>
      </w:pPr>
      <w:r>
        <w:rPr>
          <w:sz w:val="22"/>
        </w:rPr>
        <w:t>（11） 安全生产费用按照相关规定使用和管理。</w:t>
      </w:r>
    </w:p>
    <w:p>
      <w:pPr>
        <w:spacing w:line="336" w:lineRule="auto"/>
        <w:ind w:firstLine="565" w:firstLineChars="257"/>
        <w:rPr>
          <w:rFonts w:eastAsia="黑体"/>
          <w:sz w:val="22"/>
        </w:rPr>
      </w:pPr>
      <w:r>
        <w:rPr>
          <w:rFonts w:eastAsia="黑体"/>
          <w:sz w:val="22"/>
        </w:rPr>
        <w:t>3.违约责任</w:t>
      </w:r>
    </w:p>
    <w:p>
      <w:pPr>
        <w:spacing w:line="336" w:lineRule="auto"/>
        <w:ind w:firstLine="565" w:firstLineChars="257"/>
        <w:rPr>
          <w:sz w:val="22"/>
        </w:rPr>
      </w:pPr>
      <w:r>
        <w:rPr>
          <w:sz w:val="22"/>
        </w:rPr>
        <w:t>如因发包人或承包人违约造成安全事故，将依法追究责任。</w:t>
      </w:r>
    </w:p>
    <w:p>
      <w:pPr>
        <w:spacing w:line="336" w:lineRule="auto"/>
        <w:ind w:firstLine="565" w:firstLineChars="257"/>
        <w:rPr>
          <w:sz w:val="22"/>
        </w:rPr>
      </w:pPr>
      <w:r>
        <w:rPr>
          <w:sz w:val="22"/>
        </w:rPr>
        <w:t>4. 本合同由双方法定代表人或其授权的代理人签署并加盖单位章后生效，全部工程竣工验收后失效。</w:t>
      </w:r>
    </w:p>
    <w:p>
      <w:pPr>
        <w:spacing w:line="336" w:lineRule="auto"/>
        <w:ind w:firstLine="565" w:firstLineChars="257"/>
        <w:rPr>
          <w:sz w:val="22"/>
        </w:rPr>
      </w:pPr>
      <w:r>
        <w:rPr>
          <w:sz w:val="22"/>
        </w:rPr>
        <w:t>5. 本合同正本二份、副本____份，合同双方各执正本一份，副本____份，当正本与副本的内容不一致时，以正本为准。</w:t>
      </w:r>
    </w:p>
    <w:p>
      <w:pPr>
        <w:spacing w:line="336" w:lineRule="auto"/>
        <w:ind w:firstLine="525"/>
        <w:rPr>
          <w:sz w:val="22"/>
        </w:rPr>
      </w:pPr>
      <w:r>
        <w:rPr>
          <w:sz w:val="22"/>
        </w:rPr>
        <w:t xml:space="preserve">  </w:t>
      </w:r>
    </w:p>
    <w:p>
      <w:pPr>
        <w:spacing w:line="336" w:lineRule="auto"/>
        <w:ind w:firstLine="525"/>
        <w:rPr>
          <w:sz w:val="22"/>
        </w:rPr>
      </w:pPr>
    </w:p>
    <w:p>
      <w:pPr>
        <w:spacing w:line="336" w:lineRule="auto"/>
        <w:rPr>
          <w:sz w:val="22"/>
        </w:rPr>
      </w:pPr>
      <w:r>
        <w:rPr>
          <w:sz w:val="22"/>
        </w:rPr>
        <w:t>发包人：</w:t>
      </w:r>
      <w:r>
        <w:rPr>
          <w:sz w:val="22"/>
          <w:u w:val="single"/>
        </w:rPr>
        <w:t xml:space="preserve">               </w:t>
      </w:r>
      <w:r>
        <w:rPr>
          <w:sz w:val="22"/>
        </w:rPr>
        <w:t>（盖单位章）          承包人：</w:t>
      </w:r>
      <w:r>
        <w:rPr>
          <w:sz w:val="22"/>
          <w:u w:val="single"/>
        </w:rPr>
        <w:t xml:space="preserve">              </w:t>
      </w:r>
      <w:r>
        <w:rPr>
          <w:sz w:val="22"/>
        </w:rPr>
        <w:t>（盖单位章）</w:t>
      </w:r>
    </w:p>
    <w:p>
      <w:pPr>
        <w:spacing w:line="336" w:lineRule="auto"/>
        <w:rPr>
          <w:sz w:val="22"/>
        </w:rPr>
      </w:pPr>
      <w:r>
        <w:rPr>
          <w:sz w:val="22"/>
        </w:rPr>
        <w:t>法定代表人或其委托代理人：</w:t>
      </w:r>
      <w:r>
        <w:rPr>
          <w:sz w:val="22"/>
          <w:u w:val="single"/>
        </w:rPr>
        <w:t xml:space="preserve">    （</w:t>
      </w:r>
      <w:r>
        <w:rPr>
          <w:sz w:val="22"/>
        </w:rPr>
        <w:t>签字）       法定代表人或其委托代理人：</w:t>
      </w:r>
      <w:r>
        <w:rPr>
          <w:sz w:val="22"/>
          <w:u w:val="single"/>
        </w:rPr>
        <w:t xml:space="preserve">    （</w:t>
      </w:r>
      <w:r>
        <w:rPr>
          <w:sz w:val="22"/>
        </w:rPr>
        <w:t>签字）</w:t>
      </w:r>
    </w:p>
    <w:p>
      <w:pPr>
        <w:spacing w:line="336" w:lineRule="auto"/>
        <w:ind w:firstLine="330" w:firstLineChars="150"/>
        <w:rPr>
          <w:sz w:val="22"/>
        </w:rPr>
      </w:pPr>
      <w:r>
        <w:rPr>
          <w:sz w:val="22"/>
          <w:u w:val="single"/>
        </w:rPr>
        <w:t xml:space="preserve">         </w:t>
      </w:r>
      <w:r>
        <w:rPr>
          <w:sz w:val="22"/>
        </w:rPr>
        <w:t>年</w:t>
      </w:r>
      <w:r>
        <w:rPr>
          <w:sz w:val="22"/>
          <w:u w:val="single"/>
        </w:rPr>
        <w:t xml:space="preserve">       </w:t>
      </w:r>
      <w:r>
        <w:rPr>
          <w:sz w:val="22"/>
        </w:rPr>
        <w:t xml:space="preserve">月 </w:t>
      </w:r>
      <w:r>
        <w:rPr>
          <w:sz w:val="22"/>
          <w:u w:val="single"/>
        </w:rPr>
        <w:t xml:space="preserve">    </w:t>
      </w:r>
      <w:r>
        <w:rPr>
          <w:sz w:val="22"/>
        </w:rPr>
        <w:t xml:space="preserve"> 日              </w:t>
      </w:r>
      <w:r>
        <w:rPr>
          <w:sz w:val="22"/>
          <w:u w:val="single"/>
        </w:rPr>
        <w:t xml:space="preserve">         </w:t>
      </w:r>
      <w:r>
        <w:rPr>
          <w:sz w:val="22"/>
        </w:rPr>
        <w:t>年</w:t>
      </w:r>
      <w:r>
        <w:rPr>
          <w:sz w:val="22"/>
          <w:u w:val="single"/>
        </w:rPr>
        <w:t xml:space="preserve">       </w:t>
      </w:r>
      <w:r>
        <w:rPr>
          <w:sz w:val="22"/>
        </w:rPr>
        <w:t xml:space="preserve">月 </w:t>
      </w:r>
      <w:r>
        <w:rPr>
          <w:sz w:val="22"/>
          <w:u w:val="single"/>
        </w:rPr>
        <w:t xml:space="preserve">       </w:t>
      </w:r>
      <w:r>
        <w:rPr>
          <w:sz w:val="22"/>
        </w:rPr>
        <w:t xml:space="preserve"> 日</w:t>
      </w:r>
    </w:p>
    <w:p>
      <w:pPr>
        <w:rPr>
          <w:rFonts w:eastAsia="黑体"/>
          <w:sz w:val="24"/>
        </w:rPr>
      </w:pPr>
      <w:r>
        <w:rPr>
          <w:rFonts w:eastAsia="黑体"/>
          <w:sz w:val="24"/>
        </w:rPr>
        <w:br w:type="page"/>
      </w:r>
      <w:r>
        <w:rPr>
          <w:rFonts w:eastAsia="黑体"/>
          <w:sz w:val="24"/>
        </w:rPr>
        <w:t>附件四  其他管理和技术人员最低要求</w:t>
      </w:r>
    </w:p>
    <w:tbl>
      <w:tblPr>
        <w:tblStyle w:val="52"/>
        <w:tblW w:w="913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440"/>
        <w:gridCol w:w="5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448" w:type="dxa"/>
            <w:tcBorders>
              <w:top w:val="single" w:color="auto" w:sz="12" w:space="0"/>
              <w:left w:val="single" w:color="auto" w:sz="12" w:space="0"/>
              <w:bottom w:val="single" w:color="auto" w:sz="4" w:space="0"/>
              <w:right w:val="single" w:color="auto" w:sz="4" w:space="0"/>
              <w:tl2br w:val="nil"/>
              <w:tr2bl w:val="nil"/>
            </w:tcBorders>
            <w:vAlign w:val="center"/>
          </w:tcPr>
          <w:p>
            <w:pPr>
              <w:spacing w:line="400" w:lineRule="exact"/>
              <w:rPr>
                <w:sz w:val="22"/>
              </w:rPr>
            </w:pPr>
            <w:r>
              <w:rPr>
                <w:sz w:val="22"/>
              </w:rPr>
              <w:t>人  员</w:t>
            </w:r>
          </w:p>
        </w:tc>
        <w:tc>
          <w:tcPr>
            <w:tcW w:w="1440" w:type="dxa"/>
            <w:tcBorders>
              <w:top w:val="single" w:color="auto" w:sz="12" w:space="0"/>
              <w:left w:val="single" w:color="auto" w:sz="4" w:space="0"/>
              <w:bottom w:val="single" w:color="auto" w:sz="4" w:space="0"/>
              <w:right w:val="single" w:color="auto" w:sz="4" w:space="0"/>
              <w:tl2br w:val="nil"/>
              <w:tr2bl w:val="nil"/>
            </w:tcBorders>
            <w:vAlign w:val="center"/>
          </w:tcPr>
          <w:p>
            <w:pPr>
              <w:spacing w:line="400" w:lineRule="exact"/>
              <w:rPr>
                <w:sz w:val="22"/>
              </w:rPr>
            </w:pPr>
            <w:r>
              <w:rPr>
                <w:rFonts w:hint="eastAsia"/>
                <w:sz w:val="22"/>
              </w:rPr>
              <w:t>配备 数量</w:t>
            </w:r>
          </w:p>
        </w:tc>
        <w:tc>
          <w:tcPr>
            <w:tcW w:w="5247" w:type="dxa"/>
            <w:tcBorders>
              <w:top w:val="single" w:color="auto" w:sz="12" w:space="0"/>
              <w:left w:val="single" w:color="auto" w:sz="4" w:space="0"/>
              <w:bottom w:val="single" w:color="auto" w:sz="4" w:space="0"/>
              <w:right w:val="single" w:color="auto" w:sz="12" w:space="0"/>
              <w:tl2br w:val="nil"/>
              <w:tr2bl w:val="nil"/>
            </w:tcBorders>
            <w:vAlign w:val="center"/>
          </w:tcPr>
          <w:p>
            <w:pPr>
              <w:spacing w:line="400" w:lineRule="exact"/>
              <w:rPr>
                <w:sz w:val="22"/>
              </w:rPr>
            </w:pPr>
            <w:r>
              <w:rPr>
                <w:sz w:val="22"/>
              </w:rPr>
              <w:t>资 格 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448" w:type="dxa"/>
            <w:tcBorders>
              <w:top w:val="single" w:color="auto" w:sz="4" w:space="0"/>
              <w:left w:val="single" w:color="auto" w:sz="12" w:space="0"/>
              <w:bottom w:val="single" w:color="auto" w:sz="4" w:space="0"/>
              <w:right w:val="single" w:color="auto" w:sz="4" w:space="0"/>
              <w:tl2br w:val="nil"/>
              <w:tr2bl w:val="nil"/>
            </w:tcBorders>
            <w:vAlign w:val="center"/>
          </w:tcPr>
          <w:p>
            <w:pPr>
              <w:spacing w:line="400" w:lineRule="exact"/>
              <w:rPr>
                <w:sz w:val="22"/>
              </w:rPr>
            </w:pPr>
            <w:r>
              <w:rPr>
                <w:rFonts w:hint="eastAsia"/>
                <w:sz w:val="22"/>
              </w:rPr>
              <w:t>专项工程师</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sz w:val="22"/>
              </w:rPr>
            </w:pPr>
            <w:r>
              <w:rPr>
                <w:rFonts w:hint="eastAsia"/>
                <w:sz w:val="22"/>
              </w:rPr>
              <w:t>2</w:t>
            </w:r>
          </w:p>
        </w:tc>
        <w:tc>
          <w:tcPr>
            <w:tcW w:w="5247" w:type="dxa"/>
            <w:tcBorders>
              <w:top w:val="single" w:color="auto" w:sz="4" w:space="0"/>
              <w:left w:val="single" w:color="auto" w:sz="4" w:space="0"/>
              <w:bottom w:val="single" w:color="auto" w:sz="4" w:space="0"/>
              <w:right w:val="single" w:color="auto" w:sz="12" w:space="0"/>
              <w:tl2br w:val="nil"/>
              <w:tr2bl w:val="nil"/>
            </w:tcBorders>
            <w:vAlign w:val="center"/>
          </w:tcPr>
          <w:p>
            <w:pPr>
              <w:spacing w:line="400" w:lineRule="exact"/>
              <w:rPr>
                <w:sz w:val="22"/>
              </w:rPr>
            </w:pPr>
            <w:r>
              <w:rPr>
                <w:rFonts w:hint="eastAsia"/>
                <w:sz w:val="22"/>
              </w:rPr>
              <w:t>1. 助理工程师及以上职称；</w:t>
            </w:r>
          </w:p>
          <w:p>
            <w:pPr>
              <w:spacing w:line="400" w:lineRule="exact"/>
              <w:rPr>
                <w:sz w:val="22"/>
              </w:rPr>
            </w:pPr>
            <w:r>
              <w:rPr>
                <w:rFonts w:hint="eastAsia"/>
                <w:sz w:val="22"/>
              </w:rPr>
              <w:t>2.大专及以上学历（建筑专业）；</w:t>
            </w:r>
          </w:p>
          <w:p>
            <w:pPr>
              <w:spacing w:line="400" w:lineRule="exact"/>
              <w:rPr>
                <w:sz w:val="22"/>
              </w:rPr>
            </w:pPr>
            <w:r>
              <w:rPr>
                <w:rFonts w:hint="eastAsia"/>
                <w:sz w:val="22"/>
              </w:rPr>
              <w:t>3. 建筑施工或钢结构工作3年以上；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448" w:type="dxa"/>
            <w:tcBorders>
              <w:top w:val="single" w:color="auto" w:sz="4" w:space="0"/>
              <w:left w:val="single" w:color="auto" w:sz="12" w:space="0"/>
              <w:bottom w:val="single" w:color="auto" w:sz="4" w:space="0"/>
              <w:right w:val="single" w:color="auto" w:sz="4" w:space="0"/>
              <w:tl2br w:val="nil"/>
              <w:tr2bl w:val="nil"/>
            </w:tcBorders>
            <w:vAlign w:val="center"/>
          </w:tcPr>
          <w:p>
            <w:pPr>
              <w:spacing w:line="400" w:lineRule="exact"/>
              <w:rPr>
                <w:sz w:val="22"/>
              </w:rPr>
            </w:pPr>
            <w:r>
              <w:rPr>
                <w:rFonts w:hint="eastAsia"/>
                <w:sz w:val="22"/>
              </w:rPr>
              <w:t>资料管理员</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sz w:val="22"/>
              </w:rPr>
            </w:pPr>
            <w:r>
              <w:rPr>
                <w:sz w:val="22"/>
              </w:rPr>
              <w:t>1</w:t>
            </w:r>
          </w:p>
        </w:tc>
        <w:tc>
          <w:tcPr>
            <w:tcW w:w="5247" w:type="dxa"/>
            <w:tcBorders>
              <w:top w:val="single" w:color="auto" w:sz="4" w:space="0"/>
              <w:left w:val="single" w:color="auto" w:sz="4" w:space="0"/>
              <w:bottom w:val="single" w:color="auto" w:sz="4" w:space="0"/>
              <w:right w:val="single" w:color="auto" w:sz="12" w:space="0"/>
              <w:tl2br w:val="nil"/>
              <w:tr2bl w:val="nil"/>
            </w:tcBorders>
            <w:vAlign w:val="center"/>
          </w:tcPr>
          <w:p>
            <w:pPr>
              <w:spacing w:line="400" w:lineRule="exact"/>
              <w:rPr>
                <w:sz w:val="22"/>
              </w:rPr>
            </w:pPr>
            <w:r>
              <w:rPr>
                <w:rFonts w:hint="eastAsia"/>
                <w:sz w:val="22"/>
              </w:rPr>
              <w:t>1.大专及以上学历（建筑专业）；</w:t>
            </w:r>
          </w:p>
          <w:p>
            <w:pPr>
              <w:spacing w:line="400" w:lineRule="exact"/>
              <w:rPr>
                <w:sz w:val="22"/>
              </w:rPr>
            </w:pPr>
            <w:r>
              <w:rPr>
                <w:rFonts w:hint="eastAsia"/>
                <w:sz w:val="22"/>
              </w:rPr>
              <w:t>2.建筑施工、资料档案管理工作3年以上；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448" w:type="dxa"/>
            <w:tcBorders>
              <w:top w:val="single" w:color="auto" w:sz="4" w:space="0"/>
              <w:left w:val="single" w:color="auto" w:sz="12" w:space="0"/>
              <w:bottom w:val="single" w:color="auto" w:sz="4" w:space="0"/>
              <w:right w:val="single" w:color="auto" w:sz="4" w:space="0"/>
              <w:tl2br w:val="nil"/>
              <w:tr2bl w:val="nil"/>
            </w:tcBorders>
            <w:vAlign w:val="center"/>
          </w:tcPr>
          <w:p>
            <w:pPr>
              <w:spacing w:line="400" w:lineRule="exact"/>
              <w:rPr>
                <w:sz w:val="22"/>
              </w:rPr>
            </w:pPr>
            <w:r>
              <w:rPr>
                <w:rFonts w:hint="eastAsia"/>
                <w:sz w:val="22"/>
              </w:rPr>
              <w:t>专职安全员</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sz w:val="22"/>
              </w:rPr>
            </w:pPr>
            <w:r>
              <w:rPr>
                <w:sz w:val="22"/>
              </w:rPr>
              <w:t>1</w:t>
            </w:r>
          </w:p>
        </w:tc>
        <w:tc>
          <w:tcPr>
            <w:tcW w:w="5247" w:type="dxa"/>
            <w:tcBorders>
              <w:top w:val="single" w:color="auto" w:sz="4" w:space="0"/>
              <w:left w:val="single" w:color="auto" w:sz="4" w:space="0"/>
              <w:bottom w:val="single" w:color="auto" w:sz="4" w:space="0"/>
              <w:right w:val="single" w:color="auto" w:sz="12" w:space="0"/>
              <w:tl2br w:val="nil"/>
              <w:tr2bl w:val="nil"/>
            </w:tcBorders>
            <w:vAlign w:val="center"/>
          </w:tcPr>
          <w:p>
            <w:pPr>
              <w:spacing w:line="400" w:lineRule="exact"/>
              <w:rPr>
                <w:sz w:val="22"/>
              </w:rPr>
            </w:pPr>
            <w:r>
              <w:rPr>
                <w:rFonts w:hint="eastAsia"/>
                <w:sz w:val="22"/>
              </w:rPr>
              <w:t>1.助理工程师及以上职称；</w:t>
            </w:r>
          </w:p>
          <w:p>
            <w:pPr>
              <w:spacing w:line="400" w:lineRule="exact"/>
              <w:rPr>
                <w:sz w:val="22"/>
              </w:rPr>
            </w:pPr>
            <w:r>
              <w:rPr>
                <w:rFonts w:hint="eastAsia"/>
                <w:sz w:val="22"/>
              </w:rPr>
              <w:t>2.从事安全管理工作3年以上；</w:t>
            </w:r>
          </w:p>
          <w:p>
            <w:pPr>
              <w:spacing w:line="400" w:lineRule="exact"/>
              <w:rPr>
                <w:sz w:val="22"/>
              </w:rPr>
            </w:pPr>
            <w:r>
              <w:rPr>
                <w:rFonts w:hint="eastAsia"/>
                <w:sz w:val="22"/>
              </w:rPr>
              <w:t>3.</w:t>
            </w:r>
            <w:r>
              <w:rPr>
                <w:sz w:val="22"/>
              </w:rPr>
              <w:t xml:space="preserve"> 持有交通</w:t>
            </w:r>
            <w:r>
              <w:rPr>
                <w:rFonts w:hint="eastAsia"/>
                <w:sz w:val="22"/>
              </w:rPr>
              <w:t>运输</w:t>
            </w:r>
            <w:r>
              <w:rPr>
                <w:sz w:val="22"/>
              </w:rPr>
              <w:t>或建设主管部门颁发的《安全生产考核合格证书》</w:t>
            </w:r>
            <w:r>
              <w:rPr>
                <w:rFonts w:hint="eastAsia"/>
                <w:sz w:val="22"/>
              </w:rPr>
              <w:t>C证。</w:t>
            </w:r>
          </w:p>
        </w:tc>
      </w:tr>
    </w:tbl>
    <w:p>
      <w:pPr>
        <w:spacing w:line="400" w:lineRule="exact"/>
        <w:rPr>
          <w:sz w:val="22"/>
          <w:szCs w:val="21"/>
        </w:rPr>
      </w:pPr>
    </w:p>
    <w:p>
      <w:pPr>
        <w:rPr>
          <w:sz w:val="22"/>
          <w:szCs w:val="21"/>
        </w:rPr>
      </w:pPr>
      <w:r>
        <w:rPr>
          <w:bCs/>
          <w:sz w:val="22"/>
          <w:szCs w:val="21"/>
        </w:rPr>
        <w:t>注：本表所列人员在合同签订前确定，报价文件中不附。</w:t>
      </w:r>
    </w:p>
    <w:p>
      <w:pPr>
        <w:spacing w:line="400" w:lineRule="exact"/>
        <w:rPr>
          <w:sz w:val="22"/>
          <w:szCs w:val="21"/>
        </w:rPr>
      </w:pPr>
    </w:p>
    <w:p>
      <w:pPr>
        <w:spacing w:line="400" w:lineRule="exact"/>
        <w:rPr>
          <w:rFonts w:eastAsia="黑体"/>
          <w:sz w:val="24"/>
        </w:rPr>
        <w:sectPr>
          <w:footnotePr>
            <w:numFmt w:val="decimalEnclosedCircleChinese"/>
            <w:numRestart w:val="eachPage"/>
          </w:footnotePr>
          <w:pgSz w:w="11906" w:h="16838"/>
          <w:pgMar w:top="1417" w:right="1417" w:bottom="1417" w:left="1417" w:header="851" w:footer="992" w:gutter="0"/>
          <w:pgNumType w:fmt="numberInDash"/>
          <w:cols w:space="720" w:num="1"/>
          <w:docGrid w:type="lines" w:linePitch="312" w:charSpace="0"/>
        </w:sectPr>
      </w:pPr>
    </w:p>
    <w:p>
      <w:pPr>
        <w:spacing w:line="400" w:lineRule="exact"/>
        <w:rPr>
          <w:rFonts w:eastAsia="黑体"/>
          <w:sz w:val="24"/>
        </w:rPr>
      </w:pPr>
      <w:r>
        <w:rPr>
          <w:rFonts w:eastAsia="黑体"/>
          <w:sz w:val="24"/>
        </w:rPr>
        <w:t>附件</w:t>
      </w:r>
      <w:r>
        <w:rPr>
          <w:rFonts w:hint="eastAsia" w:eastAsia="黑体"/>
          <w:sz w:val="24"/>
        </w:rPr>
        <w:t>五</w:t>
      </w:r>
      <w:r>
        <w:rPr>
          <w:rFonts w:eastAsia="黑体"/>
          <w:sz w:val="24"/>
        </w:rPr>
        <w:t xml:space="preserve">  项目经理委任书</w:t>
      </w:r>
    </w:p>
    <w:p>
      <w:pPr>
        <w:jc w:val="center"/>
        <w:rPr>
          <w:rFonts w:eastAsia="楷体_GB2312"/>
          <w:sz w:val="28"/>
        </w:rPr>
      </w:pPr>
    </w:p>
    <w:p>
      <w:pPr>
        <w:jc w:val="center"/>
        <w:rPr>
          <w:rFonts w:eastAsia="黑体"/>
          <w:sz w:val="28"/>
          <w:u w:val="single"/>
        </w:rPr>
      </w:pPr>
      <w:r>
        <w:rPr>
          <w:rFonts w:eastAsia="黑体"/>
          <w:sz w:val="28"/>
          <w:u w:val="single"/>
        </w:rPr>
        <w:t>（承包人全称）</w:t>
      </w:r>
    </w:p>
    <w:p>
      <w:pPr>
        <w:jc w:val="center"/>
        <w:rPr>
          <w:rFonts w:eastAsia="黑体"/>
          <w:sz w:val="28"/>
        </w:rPr>
      </w:pPr>
      <w:r>
        <w:rPr>
          <w:rFonts w:eastAsia="黑体"/>
          <w:sz w:val="28"/>
          <w:u w:val="single"/>
        </w:rPr>
        <w:t>（合同工程名称）</w:t>
      </w:r>
      <w:r>
        <w:rPr>
          <w:rFonts w:eastAsia="黑体"/>
          <w:sz w:val="28"/>
        </w:rPr>
        <w:t>项目经理委任书</w:t>
      </w:r>
    </w:p>
    <w:p>
      <w:pPr>
        <w:jc w:val="center"/>
        <w:rPr>
          <w:sz w:val="22"/>
        </w:rPr>
      </w:pPr>
    </w:p>
    <w:p>
      <w:pPr>
        <w:spacing w:line="360" w:lineRule="auto"/>
        <w:rPr>
          <w:sz w:val="22"/>
          <w:u w:val="single"/>
        </w:rPr>
      </w:pPr>
      <w:r>
        <w:rPr>
          <w:sz w:val="22"/>
        </w:rPr>
        <w:t>致：</w:t>
      </w:r>
      <w:r>
        <w:rPr>
          <w:sz w:val="22"/>
          <w:u w:val="single"/>
        </w:rPr>
        <w:t xml:space="preserve">（发包人全称） </w:t>
      </w:r>
    </w:p>
    <w:p>
      <w:pPr>
        <w:spacing w:line="360" w:lineRule="auto"/>
        <w:ind w:firstLine="440" w:firstLineChars="200"/>
        <w:rPr>
          <w:sz w:val="22"/>
        </w:rPr>
      </w:pPr>
      <w:r>
        <w:rPr>
          <w:sz w:val="22"/>
          <w:u w:val="single"/>
        </w:rPr>
        <w:t>（承包人全称）</w:t>
      </w:r>
      <w:r>
        <w:rPr>
          <w:sz w:val="22"/>
        </w:rPr>
        <w:t>法定代表人</w:t>
      </w:r>
      <w:r>
        <w:rPr>
          <w:sz w:val="22"/>
          <w:u w:val="single"/>
        </w:rPr>
        <w:t>（职务、姓名）</w:t>
      </w:r>
      <w:r>
        <w:rPr>
          <w:sz w:val="22"/>
        </w:rPr>
        <w:t>代表本单位委任</w:t>
      </w:r>
      <w:r>
        <w:rPr>
          <w:sz w:val="22"/>
          <w:u w:val="single"/>
        </w:rPr>
        <w:t>（职务、姓名）</w:t>
      </w:r>
      <w:r>
        <w:rPr>
          <w:sz w:val="22"/>
        </w:rPr>
        <w:t>为</w:t>
      </w:r>
      <w:r>
        <w:rPr>
          <w:sz w:val="22"/>
          <w:u w:val="single"/>
        </w:rPr>
        <w:t>（合同工程名称）</w:t>
      </w:r>
      <w:r>
        <w:rPr>
          <w:sz w:val="22"/>
        </w:rPr>
        <w:t>的项目经理。凡本合同执行中的有关技术、工程进度、现场管理、质量检验、结算与支付等方面工作，由</w:t>
      </w:r>
      <w:r>
        <w:rPr>
          <w:sz w:val="22"/>
          <w:u w:val="single"/>
        </w:rPr>
        <w:t>（姓名）</w:t>
      </w:r>
      <w:r>
        <w:rPr>
          <w:sz w:val="22"/>
        </w:rPr>
        <w:t>代表本单位全面负责。</w:t>
      </w:r>
    </w:p>
    <w:p>
      <w:pPr>
        <w:spacing w:line="400" w:lineRule="exact"/>
        <w:rPr>
          <w:sz w:val="22"/>
        </w:rPr>
      </w:pPr>
    </w:p>
    <w:p>
      <w:pPr>
        <w:spacing w:line="400" w:lineRule="exact"/>
        <w:rPr>
          <w:sz w:val="22"/>
        </w:rPr>
      </w:pPr>
    </w:p>
    <w:p>
      <w:pPr>
        <w:pStyle w:val="128"/>
        <w:spacing w:line="400" w:lineRule="exact"/>
        <w:rPr>
          <w:sz w:val="22"/>
        </w:rPr>
      </w:pPr>
    </w:p>
    <w:p>
      <w:pPr>
        <w:spacing w:line="360" w:lineRule="auto"/>
        <w:ind w:firstLine="5049" w:firstLineChars="2295"/>
        <w:jc w:val="left"/>
        <w:rPr>
          <w:sz w:val="22"/>
          <w:u w:val="single"/>
        </w:rPr>
      </w:pPr>
      <w:r>
        <w:rPr>
          <w:sz w:val="22"/>
        </w:rPr>
        <w:t>承包人：</w:t>
      </w:r>
      <w:r>
        <w:rPr>
          <w:sz w:val="22"/>
          <w:u w:val="single"/>
        </w:rPr>
        <w:t xml:space="preserve">           （盖单位章）</w:t>
      </w:r>
    </w:p>
    <w:p>
      <w:pPr>
        <w:spacing w:line="360" w:lineRule="auto"/>
        <w:ind w:firstLine="5049" w:firstLineChars="2295"/>
        <w:rPr>
          <w:sz w:val="22"/>
          <w:u w:val="single"/>
        </w:rPr>
      </w:pPr>
      <w:r>
        <w:rPr>
          <w:sz w:val="22"/>
        </w:rPr>
        <w:t>法定代表人：</w:t>
      </w:r>
      <w:r>
        <w:rPr>
          <w:sz w:val="22"/>
          <w:u w:val="single"/>
        </w:rPr>
        <w:t>（职务）</w:t>
      </w:r>
    </w:p>
    <w:p>
      <w:pPr>
        <w:spacing w:line="360" w:lineRule="auto"/>
        <w:ind w:firstLine="6237" w:firstLineChars="2835"/>
        <w:rPr>
          <w:sz w:val="22"/>
          <w:u w:val="single"/>
        </w:rPr>
      </w:pPr>
      <w:r>
        <w:rPr>
          <w:sz w:val="22"/>
          <w:u w:val="single"/>
        </w:rPr>
        <w:t>（姓名）</w:t>
      </w:r>
    </w:p>
    <w:p>
      <w:pPr>
        <w:spacing w:line="360" w:lineRule="auto"/>
        <w:ind w:firstLine="6237" w:firstLineChars="2835"/>
        <w:rPr>
          <w:sz w:val="22"/>
          <w:u w:val="single"/>
        </w:rPr>
      </w:pPr>
      <w:r>
        <w:rPr>
          <w:sz w:val="22"/>
          <w:u w:val="single"/>
        </w:rPr>
        <w:t>（签字）</w:t>
      </w:r>
    </w:p>
    <w:p>
      <w:pPr>
        <w:wordWrap w:val="0"/>
        <w:spacing w:line="400" w:lineRule="exact"/>
        <w:jc w:val="right"/>
        <w:rPr>
          <w:sz w:val="22"/>
        </w:rPr>
      </w:pPr>
      <w:r>
        <w:rPr>
          <w:sz w:val="22"/>
          <w:u w:val="single"/>
        </w:rPr>
        <w:t xml:space="preserve">       </w:t>
      </w:r>
      <w:r>
        <w:rPr>
          <w:sz w:val="22"/>
        </w:rPr>
        <w:t>年</w:t>
      </w:r>
      <w:r>
        <w:rPr>
          <w:sz w:val="22"/>
          <w:u w:val="single"/>
        </w:rPr>
        <w:t xml:space="preserve">    </w:t>
      </w:r>
      <w:r>
        <w:rPr>
          <w:sz w:val="22"/>
        </w:rPr>
        <w:t>月</w:t>
      </w:r>
      <w:r>
        <w:rPr>
          <w:sz w:val="22"/>
          <w:u w:val="single"/>
        </w:rPr>
        <w:t xml:space="preserve">    </w:t>
      </w:r>
      <w:r>
        <w:rPr>
          <w:sz w:val="22"/>
        </w:rPr>
        <w:t>日</w:t>
      </w:r>
    </w:p>
    <w:p>
      <w:pPr>
        <w:spacing w:line="400" w:lineRule="exact"/>
        <w:rPr>
          <w:sz w:val="22"/>
          <w:u w:val="single"/>
        </w:rPr>
      </w:pPr>
    </w:p>
    <w:p>
      <w:pPr>
        <w:spacing w:line="400" w:lineRule="exact"/>
        <w:rPr>
          <w:sz w:val="22"/>
          <w:u w:val="single"/>
        </w:rPr>
      </w:pPr>
    </w:p>
    <w:p>
      <w:pPr>
        <w:spacing w:line="400" w:lineRule="exact"/>
        <w:rPr>
          <w:sz w:val="22"/>
          <w:u w:val="single"/>
        </w:rPr>
      </w:pPr>
      <w:r>
        <w:rPr>
          <w:sz w:val="22"/>
        </w:rPr>
        <w:t>抄送：</w:t>
      </w:r>
      <w:r>
        <w:rPr>
          <w:sz w:val="22"/>
          <w:u w:val="single"/>
        </w:rPr>
        <w:t>（监理人）</w:t>
      </w:r>
    </w:p>
    <w:bookmarkEnd w:id="148"/>
    <w:bookmarkEnd w:id="151"/>
    <w:p>
      <w:pPr>
        <w:spacing w:line="360" w:lineRule="auto"/>
        <w:rPr>
          <w:sz w:val="22"/>
          <w:u w:val="single"/>
        </w:rPr>
      </w:pPr>
      <w:bookmarkStart w:id="152" w:name="_Toc6414295"/>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3"/>
        <w:rPr>
          <w:rFonts w:ascii="方正小标宋简体" w:hAnsi="黑体" w:eastAsia="方正小标宋简体" w:cs="黑体"/>
          <w:b w:val="0"/>
          <w:sz w:val="36"/>
          <w:szCs w:val="36"/>
        </w:rPr>
      </w:pPr>
    </w:p>
    <w:p>
      <w:pPr>
        <w:pStyle w:val="4"/>
        <w:jc w:val="center"/>
        <w:rPr>
          <w:rFonts w:ascii="Times New Roman" w:hAnsi="Times New Roman"/>
          <w:sz w:val="24"/>
        </w:rPr>
      </w:pPr>
      <w:bookmarkStart w:id="153" w:name="_Toc3756"/>
      <w:bookmarkStart w:id="154" w:name="_Toc14672_WPSOffice_Level1"/>
      <w:bookmarkStart w:id="155" w:name="_Toc520108180"/>
      <w:bookmarkStart w:id="156" w:name="_Toc5876"/>
      <w:r>
        <w:rPr>
          <w:rFonts w:hint="eastAsia" w:ascii="方正小标宋简体" w:hAnsi="黑体" w:eastAsia="方正小标宋简体" w:cs="黑体"/>
          <w:b w:val="0"/>
          <w:bCs w:val="0"/>
          <w:sz w:val="36"/>
          <w:szCs w:val="36"/>
        </w:rPr>
        <w:t>第五章  工程量清单</w:t>
      </w:r>
      <w:bookmarkEnd w:id="153"/>
      <w:bookmarkEnd w:id="154"/>
      <w:bookmarkEnd w:id="155"/>
      <w:bookmarkEnd w:id="156"/>
    </w:p>
    <w:p>
      <w:pPr>
        <w:spacing w:line="360" w:lineRule="auto"/>
        <w:ind w:firstLine="480" w:firstLineChars="200"/>
        <w:jc w:val="left"/>
        <w:rPr>
          <w:sz w:val="24"/>
        </w:rPr>
      </w:pPr>
      <w:r>
        <w:rPr>
          <w:sz w:val="24"/>
        </w:rPr>
        <w:t>采用</w:t>
      </w:r>
      <w:r>
        <w:rPr>
          <w:rFonts w:hint="eastAsia"/>
          <w:sz w:val="24"/>
        </w:rPr>
        <w:t>“</w:t>
      </w:r>
      <w:r>
        <w:rPr>
          <w:sz w:val="24"/>
        </w:rPr>
        <w:t>工程量固化清单</w:t>
      </w:r>
      <w:r>
        <w:rPr>
          <w:rFonts w:hint="eastAsia"/>
          <w:sz w:val="24"/>
        </w:rPr>
        <w:t>”</w:t>
      </w:r>
      <w:r>
        <w:rPr>
          <w:sz w:val="24"/>
        </w:rPr>
        <w:t>：</w:t>
      </w:r>
    </w:p>
    <w:p>
      <w:pPr>
        <w:spacing w:line="360" w:lineRule="auto"/>
        <w:ind w:firstLine="480" w:firstLineChars="200"/>
        <w:jc w:val="left"/>
        <w:rPr>
          <w:sz w:val="24"/>
        </w:rPr>
      </w:pPr>
      <w:r>
        <w:rPr>
          <w:sz w:val="24"/>
        </w:rPr>
        <w:t>1、询价人提供的工程量固化清单电子文件将在</w:t>
      </w:r>
      <w:r>
        <w:rPr>
          <w:rFonts w:hint="eastAsia"/>
          <w:sz w:val="24"/>
        </w:rPr>
        <w:t>安徽省交通控股集团有限公司网站</w:t>
      </w:r>
      <w:r>
        <w:rPr>
          <w:sz w:val="24"/>
        </w:rPr>
        <w:t>公布，报价人可自行下载。</w:t>
      </w:r>
    </w:p>
    <w:p>
      <w:pPr>
        <w:spacing w:line="360" w:lineRule="auto"/>
        <w:ind w:firstLine="480" w:firstLineChars="200"/>
        <w:jc w:val="left"/>
        <w:rPr>
          <w:sz w:val="24"/>
        </w:rPr>
      </w:pPr>
      <w:r>
        <w:rPr>
          <w:sz w:val="24"/>
        </w:rPr>
        <w:t>2、对于工程量固化清单中出现的格式、公式引用等错漏之处，报价人可按</w:t>
      </w:r>
      <w:r>
        <w:rPr>
          <w:rFonts w:hint="eastAsia"/>
          <w:sz w:val="24"/>
        </w:rPr>
        <w:t>询价</w:t>
      </w:r>
      <w:r>
        <w:rPr>
          <w:sz w:val="24"/>
        </w:rPr>
        <w:t>公告和报价人须知前附表中的联系方式及时向询价人反映。</w:t>
      </w:r>
    </w:p>
    <w:p>
      <w:pPr>
        <w:rPr>
          <w:sz w:val="24"/>
        </w:rPr>
      </w:pPr>
    </w:p>
    <w:p/>
    <w:p>
      <w:pPr>
        <w:pStyle w:val="2"/>
      </w:pPr>
      <w:r>
        <w:rPr>
          <w:rFonts w:eastAsia="黑体"/>
          <w:b/>
          <w:sz w:val="32"/>
          <w:szCs w:val="32"/>
        </w:rPr>
        <w:br w:type="page"/>
      </w:r>
    </w:p>
    <w:p>
      <w:pPr>
        <w:pStyle w:val="2"/>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4"/>
        <w:jc w:val="center"/>
        <w:rPr>
          <w:rFonts w:ascii="方正小标宋简体" w:hAnsi="黑体" w:eastAsia="方正小标宋简体" w:cs="黑体"/>
          <w:b w:val="0"/>
          <w:sz w:val="36"/>
          <w:szCs w:val="36"/>
        </w:rPr>
      </w:pPr>
    </w:p>
    <w:p>
      <w:pPr>
        <w:pStyle w:val="4"/>
        <w:jc w:val="center"/>
        <w:rPr>
          <w:rFonts w:ascii="方正小标宋简体" w:hAnsi="黑体" w:eastAsia="方正小标宋简体" w:cs="黑体"/>
          <w:b w:val="0"/>
          <w:sz w:val="36"/>
          <w:szCs w:val="36"/>
        </w:rPr>
      </w:pPr>
      <w:r>
        <w:rPr>
          <w:rFonts w:hint="eastAsia" w:ascii="方正小标宋简体" w:hAnsi="黑体" w:eastAsia="方正小标宋简体" w:cs="黑体"/>
          <w:b w:val="0"/>
          <w:bCs w:val="0"/>
          <w:sz w:val="36"/>
          <w:szCs w:val="36"/>
        </w:rPr>
        <w:t xml:space="preserve"> </w:t>
      </w:r>
      <w:bookmarkStart w:id="157" w:name="_Toc30384_WPSOffice_Level1"/>
      <w:r>
        <w:rPr>
          <w:rFonts w:hint="eastAsia" w:ascii="方正小标宋简体" w:hAnsi="黑体" w:eastAsia="方正小标宋简体" w:cs="黑体"/>
          <w:b w:val="0"/>
          <w:bCs w:val="0"/>
          <w:sz w:val="36"/>
          <w:szCs w:val="36"/>
        </w:rPr>
        <w:t>第六章  技术规范</w:t>
      </w:r>
      <w:bookmarkEnd w:id="157"/>
    </w:p>
    <w:p>
      <w:pPr>
        <w:pStyle w:val="3"/>
        <w:numPr>
          <w:ilvl w:val="255"/>
          <w:numId w:val="0"/>
        </w:numPr>
        <w:jc w:val="both"/>
        <w:rPr>
          <w:rFonts w:ascii="方正小标宋简体" w:hAnsi="黑体" w:eastAsia="方正小标宋简体" w:cs="黑体"/>
          <w:sz w:val="30"/>
          <w:szCs w:val="30"/>
        </w:rPr>
      </w:pPr>
    </w:p>
    <w:p>
      <w:pPr>
        <w:spacing w:line="360" w:lineRule="auto"/>
        <w:ind w:firstLine="560" w:firstLineChars="200"/>
        <w:rPr>
          <w:rFonts w:ascii="宋体" w:hAnsi="宋体" w:cs="宋体"/>
          <w:sz w:val="28"/>
          <w:szCs w:val="28"/>
        </w:rPr>
      </w:pPr>
      <w:r>
        <w:rPr>
          <w:rFonts w:hint="eastAsia" w:ascii="宋体" w:hAnsi="宋体" w:cs="宋体"/>
          <w:sz w:val="28"/>
          <w:szCs w:val="28"/>
        </w:rPr>
        <w:t>详见交通运输部《公路工程标准施工招标文件（2018年版）》的“技术规范”。</w:t>
      </w:r>
    </w:p>
    <w:p>
      <w:pPr>
        <w:pStyle w:val="3"/>
        <w:numPr>
          <w:ilvl w:val="255"/>
          <w:numId w:val="0"/>
        </w:numPr>
        <w:jc w:val="both"/>
        <w:rPr>
          <w:rFonts w:ascii="方正小标宋简体" w:hAnsi="黑体" w:eastAsia="方正小标宋简体" w:cs="黑体"/>
          <w:sz w:val="30"/>
          <w:szCs w:val="30"/>
        </w:rPr>
      </w:pPr>
    </w:p>
    <w:p>
      <w:pPr>
        <w:pStyle w:val="3"/>
        <w:numPr>
          <w:ilvl w:val="255"/>
          <w:numId w:val="0"/>
        </w:numPr>
        <w:jc w:val="both"/>
        <w:rPr>
          <w:rFonts w:ascii="方正小标宋简体" w:hAnsi="黑体" w:eastAsia="方正小标宋简体" w:cs="黑体"/>
          <w:b w:val="0"/>
          <w:sz w:val="36"/>
          <w:szCs w:val="36"/>
        </w:rPr>
      </w:pPr>
    </w:p>
    <w:p>
      <w:pPr>
        <w:pStyle w:val="3"/>
        <w:numPr>
          <w:ilvl w:val="255"/>
          <w:numId w:val="0"/>
        </w:numPr>
        <w:jc w:val="both"/>
        <w:rPr>
          <w:rFonts w:ascii="方正小标宋简体" w:hAnsi="黑体" w:eastAsia="方正小标宋简体" w:cs="黑体"/>
          <w:b w:val="0"/>
          <w:sz w:val="36"/>
          <w:szCs w:val="36"/>
        </w:rPr>
      </w:pPr>
    </w:p>
    <w:p>
      <w:pPr>
        <w:pStyle w:val="3"/>
        <w:numPr>
          <w:ilvl w:val="255"/>
          <w:numId w:val="0"/>
        </w:numPr>
        <w:jc w:val="both"/>
        <w:rPr>
          <w:rFonts w:ascii="方正小标宋简体" w:hAnsi="黑体" w:eastAsia="方正小标宋简体" w:cs="黑体"/>
          <w:b w:val="0"/>
          <w:sz w:val="36"/>
          <w:szCs w:val="36"/>
        </w:rPr>
      </w:pPr>
    </w:p>
    <w:p>
      <w:pPr>
        <w:pStyle w:val="3"/>
        <w:numPr>
          <w:ilvl w:val="255"/>
          <w:numId w:val="0"/>
        </w:numPr>
        <w:jc w:val="both"/>
        <w:rPr>
          <w:rFonts w:ascii="方正小标宋简体" w:hAnsi="黑体" w:eastAsia="方正小标宋简体" w:cs="黑体"/>
          <w:b w:val="0"/>
          <w:sz w:val="36"/>
          <w:szCs w:val="36"/>
        </w:rPr>
      </w:pPr>
    </w:p>
    <w:p>
      <w:pPr>
        <w:pStyle w:val="3"/>
        <w:numPr>
          <w:ilvl w:val="255"/>
          <w:numId w:val="0"/>
        </w:numPr>
        <w:jc w:val="both"/>
        <w:rPr>
          <w:rFonts w:ascii="方正小标宋简体" w:hAnsi="黑体" w:eastAsia="方正小标宋简体" w:cs="黑体"/>
          <w:b w:val="0"/>
          <w:sz w:val="36"/>
          <w:szCs w:val="36"/>
        </w:rPr>
      </w:pPr>
    </w:p>
    <w:p>
      <w:pPr>
        <w:pStyle w:val="3"/>
        <w:numPr>
          <w:ilvl w:val="255"/>
          <w:numId w:val="0"/>
        </w:numPr>
        <w:jc w:val="both"/>
        <w:rPr>
          <w:rFonts w:ascii="方正小标宋简体" w:hAnsi="黑体" w:eastAsia="方正小标宋简体" w:cs="黑体"/>
          <w:b w:val="0"/>
          <w:sz w:val="36"/>
          <w:szCs w:val="36"/>
        </w:rPr>
      </w:pPr>
    </w:p>
    <w:p>
      <w:pPr>
        <w:pStyle w:val="3"/>
        <w:numPr>
          <w:ilvl w:val="255"/>
          <w:numId w:val="0"/>
        </w:numPr>
        <w:jc w:val="both"/>
        <w:rPr>
          <w:rFonts w:ascii="方正小标宋简体" w:hAnsi="黑体" w:eastAsia="方正小标宋简体" w:cs="黑体"/>
          <w:b w:val="0"/>
          <w:sz w:val="36"/>
          <w:szCs w:val="36"/>
        </w:rPr>
      </w:pPr>
    </w:p>
    <w:p>
      <w:pPr>
        <w:pStyle w:val="3"/>
        <w:numPr>
          <w:ilvl w:val="255"/>
          <w:numId w:val="0"/>
        </w:numPr>
        <w:jc w:val="both"/>
        <w:rPr>
          <w:rFonts w:ascii="方正小标宋简体" w:hAnsi="黑体" w:eastAsia="方正小标宋简体" w:cs="黑体"/>
          <w:b w:val="0"/>
          <w:sz w:val="36"/>
          <w:szCs w:val="36"/>
        </w:rPr>
      </w:pPr>
    </w:p>
    <w:p>
      <w:pPr>
        <w:pStyle w:val="3"/>
        <w:numPr>
          <w:ilvl w:val="255"/>
          <w:numId w:val="0"/>
        </w:numPr>
        <w:jc w:val="both"/>
        <w:rPr>
          <w:rFonts w:ascii="方正小标宋简体" w:hAnsi="黑体" w:eastAsia="方正小标宋简体" w:cs="黑体"/>
          <w:b w:val="0"/>
          <w:sz w:val="36"/>
          <w:szCs w:val="36"/>
        </w:rPr>
      </w:pPr>
    </w:p>
    <w:p>
      <w:pPr>
        <w:pStyle w:val="3"/>
        <w:numPr>
          <w:ilvl w:val="255"/>
          <w:numId w:val="0"/>
        </w:numPr>
        <w:ind w:firstLine="360" w:firstLineChars="100"/>
        <w:jc w:val="both"/>
        <w:rPr>
          <w:rFonts w:ascii="方正小标宋简体" w:hAnsi="黑体" w:eastAsia="方正小标宋简体" w:cs="黑体"/>
          <w:b w:val="0"/>
          <w:sz w:val="36"/>
          <w:szCs w:val="36"/>
        </w:rPr>
      </w:pPr>
    </w:p>
    <w:p>
      <w:pPr>
        <w:pStyle w:val="3"/>
        <w:numPr>
          <w:ilvl w:val="255"/>
          <w:numId w:val="0"/>
        </w:numPr>
        <w:ind w:firstLine="360" w:firstLineChars="100"/>
        <w:jc w:val="both"/>
        <w:rPr>
          <w:rFonts w:ascii="方正小标宋简体" w:hAnsi="黑体" w:eastAsia="方正小标宋简体" w:cs="黑体"/>
          <w:b w:val="0"/>
          <w:sz w:val="36"/>
          <w:szCs w:val="36"/>
        </w:rPr>
      </w:pPr>
    </w:p>
    <w:p>
      <w:pPr>
        <w:pStyle w:val="3"/>
        <w:numPr>
          <w:ilvl w:val="255"/>
          <w:numId w:val="0"/>
        </w:numPr>
        <w:ind w:firstLine="360" w:firstLineChars="100"/>
        <w:jc w:val="both"/>
        <w:rPr>
          <w:rFonts w:ascii="方正小标宋简体" w:hAnsi="黑体" w:eastAsia="方正小标宋简体" w:cs="黑体"/>
          <w:b w:val="0"/>
          <w:sz w:val="36"/>
          <w:szCs w:val="36"/>
        </w:rPr>
      </w:pPr>
    </w:p>
    <w:p>
      <w:pPr>
        <w:pStyle w:val="3"/>
        <w:numPr>
          <w:ilvl w:val="255"/>
          <w:numId w:val="0"/>
        </w:numPr>
        <w:ind w:firstLine="360" w:firstLineChars="100"/>
        <w:jc w:val="both"/>
        <w:rPr>
          <w:rFonts w:ascii="方正小标宋简体" w:hAnsi="黑体" w:eastAsia="方正小标宋简体" w:cs="黑体"/>
          <w:b w:val="0"/>
          <w:sz w:val="36"/>
          <w:szCs w:val="36"/>
        </w:rPr>
      </w:pPr>
    </w:p>
    <w:p>
      <w:pPr>
        <w:pStyle w:val="3"/>
        <w:numPr>
          <w:ilvl w:val="255"/>
          <w:numId w:val="0"/>
        </w:numPr>
        <w:ind w:firstLine="360" w:firstLineChars="100"/>
        <w:jc w:val="both"/>
        <w:rPr>
          <w:rFonts w:ascii="方正小标宋简体" w:hAnsi="黑体" w:eastAsia="方正小标宋简体" w:cs="黑体"/>
          <w:b w:val="0"/>
          <w:sz w:val="36"/>
          <w:szCs w:val="36"/>
        </w:rPr>
      </w:pPr>
    </w:p>
    <w:p>
      <w:pPr>
        <w:pStyle w:val="3"/>
        <w:numPr>
          <w:ilvl w:val="255"/>
          <w:numId w:val="0"/>
        </w:numPr>
        <w:ind w:firstLine="360" w:firstLineChars="100"/>
        <w:jc w:val="both"/>
        <w:rPr>
          <w:rFonts w:ascii="方正小标宋简体" w:hAnsi="黑体" w:eastAsia="方正小标宋简体" w:cs="黑体"/>
          <w:b w:val="0"/>
          <w:sz w:val="36"/>
          <w:szCs w:val="36"/>
        </w:rPr>
      </w:pPr>
    </w:p>
    <w:p>
      <w:pPr>
        <w:pStyle w:val="3"/>
        <w:numPr>
          <w:ilvl w:val="255"/>
          <w:numId w:val="0"/>
        </w:numPr>
        <w:ind w:firstLine="2520" w:firstLineChars="700"/>
        <w:jc w:val="both"/>
        <w:rPr>
          <w:rFonts w:ascii="方正小标宋简体" w:hAnsi="黑体" w:eastAsia="方正小标宋简体" w:cs="黑体"/>
          <w:b w:val="0"/>
          <w:sz w:val="36"/>
          <w:szCs w:val="36"/>
        </w:rPr>
      </w:pPr>
      <w:bookmarkStart w:id="158" w:name="_Toc25862_WPSOffice_Level1"/>
      <w:r>
        <w:rPr>
          <w:rFonts w:hint="eastAsia" w:ascii="方正小标宋简体" w:hAnsi="黑体" w:eastAsia="方正小标宋简体" w:cs="黑体"/>
          <w:b w:val="0"/>
          <w:sz w:val="36"/>
          <w:szCs w:val="36"/>
        </w:rPr>
        <w:t xml:space="preserve">第七章 </w:t>
      </w:r>
      <w:bookmarkEnd w:id="152"/>
      <w:bookmarkStart w:id="159" w:name="_Toc528058025"/>
      <w:r>
        <w:rPr>
          <w:rFonts w:hint="eastAsia" w:ascii="方正小标宋简体" w:hAnsi="黑体" w:eastAsia="方正小标宋简体" w:cs="黑体"/>
          <w:b w:val="0"/>
          <w:sz w:val="36"/>
          <w:szCs w:val="36"/>
        </w:rPr>
        <w:t>施工图纸（另成册）</w:t>
      </w:r>
      <w:bookmarkEnd w:id="158"/>
    </w:p>
    <w:p/>
    <w:p>
      <w:pPr>
        <w:pStyle w:val="2"/>
      </w:pPr>
      <w:r>
        <w:br w:type="page"/>
      </w:r>
    </w:p>
    <w:bookmarkEnd w:id="159"/>
    <w:p>
      <w:pPr>
        <w:pStyle w:val="2"/>
      </w:pPr>
      <w:bookmarkStart w:id="160" w:name="_Toc6414296"/>
      <w:r>
        <w:rPr>
          <w:rFonts w:hint="eastAsia" w:ascii="宋体" w:hAnsi="宋体"/>
        </w:rPr>
        <w:t xml:space="preserve">   </w:t>
      </w: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3"/>
        <w:rPr>
          <w:rFonts w:ascii="方正小标宋简体" w:hAnsi="黑体" w:eastAsia="方正小标宋简体" w:cs="黑体"/>
          <w:b w:val="0"/>
          <w:sz w:val="36"/>
          <w:szCs w:val="36"/>
        </w:rPr>
      </w:pPr>
    </w:p>
    <w:p>
      <w:pPr>
        <w:pStyle w:val="3"/>
        <w:rPr>
          <w:rFonts w:ascii="方正小标宋简体" w:hAnsi="黑体" w:eastAsia="方正小标宋简体" w:cs="黑体"/>
          <w:b w:val="0"/>
          <w:sz w:val="36"/>
          <w:szCs w:val="36"/>
        </w:rPr>
      </w:pPr>
      <w:bookmarkStart w:id="161" w:name="_Toc2323_WPSOffice_Level1"/>
      <w:r>
        <w:rPr>
          <w:rFonts w:hint="eastAsia" w:ascii="方正小标宋简体" w:hAnsi="黑体" w:eastAsia="方正小标宋简体" w:cs="黑体"/>
          <w:b w:val="0"/>
          <w:sz w:val="36"/>
          <w:szCs w:val="36"/>
        </w:rPr>
        <w:t>第八章  报价文件格式</w:t>
      </w:r>
      <w:bookmarkEnd w:id="160"/>
      <w:bookmarkEnd w:id="161"/>
    </w:p>
    <w:p>
      <w:pPr>
        <w:widowControl/>
        <w:jc w:val="left"/>
        <w:rPr>
          <w:szCs w:val="21"/>
        </w:rPr>
      </w:pPr>
      <w:r>
        <w:rPr>
          <w:szCs w:val="21"/>
        </w:rPr>
        <w:br w:type="page"/>
      </w:r>
    </w:p>
    <w:p>
      <w:pPr>
        <w:spacing w:line="360" w:lineRule="auto"/>
        <w:jc w:val="center"/>
        <w:rPr>
          <w:rFonts w:ascii="黑体" w:hAnsi="宋体" w:eastAsia="黑体"/>
          <w:b/>
          <w:bCs/>
          <w:sz w:val="72"/>
          <w:szCs w:val="72"/>
        </w:rPr>
      </w:pPr>
      <w:bookmarkStart w:id="162" w:name="_Toc1728_WPSOffice_Level1"/>
      <w:bookmarkStart w:id="163" w:name="_Toc26736_WPSOffice_Level1"/>
      <w:bookmarkStart w:id="164" w:name="_Toc6054_WPSOffice_Level1"/>
      <w:bookmarkStart w:id="165" w:name="_Toc9496_WPSOffice_Level1"/>
      <w:bookmarkStart w:id="166" w:name="_Toc1227_WPSOffice_Level1"/>
      <w:bookmarkStart w:id="167" w:name="_Toc18098_WPSOffice_Level1"/>
      <w:r>
        <w:rPr>
          <w:rFonts w:hint="eastAsia" w:ascii="黑体" w:eastAsia="黑体"/>
          <w:b/>
          <w:spacing w:val="-6"/>
          <w:sz w:val="44"/>
          <w:szCs w:val="44"/>
          <w:lang w:eastAsia="zh-CN"/>
        </w:rPr>
        <w:t>萧县</w:t>
      </w:r>
      <w:r>
        <w:rPr>
          <w:rFonts w:hint="eastAsia" w:ascii="黑体" w:eastAsia="黑体"/>
          <w:b/>
          <w:spacing w:val="-6"/>
          <w:sz w:val="44"/>
          <w:szCs w:val="44"/>
        </w:rPr>
        <w:t>管理处</w:t>
      </w:r>
      <w:r>
        <w:rPr>
          <w:rFonts w:hint="eastAsia" w:ascii="黑体" w:eastAsia="黑体"/>
          <w:b/>
          <w:spacing w:val="-6"/>
          <w:sz w:val="44"/>
          <w:szCs w:val="44"/>
          <w:lang w:eastAsia="zh-CN"/>
        </w:rPr>
        <w:t>皖鲁、砀永</w:t>
      </w:r>
      <w:r>
        <w:rPr>
          <w:rFonts w:hint="eastAsia" w:ascii="黑体" w:eastAsia="黑体"/>
          <w:b/>
          <w:spacing w:val="-6"/>
          <w:sz w:val="44"/>
          <w:szCs w:val="44"/>
        </w:rPr>
        <w:t>收费站收费大棚拆除工程</w:t>
      </w:r>
      <w:bookmarkEnd w:id="162"/>
      <w:bookmarkEnd w:id="163"/>
      <w:bookmarkEnd w:id="164"/>
      <w:r>
        <w:rPr>
          <w:rFonts w:hint="eastAsia" w:ascii="黑体" w:hAnsi="宋体" w:eastAsia="黑体"/>
          <w:b/>
          <w:bCs/>
          <w:sz w:val="72"/>
          <w:szCs w:val="72"/>
        </w:rPr>
        <w:t xml:space="preserve"> </w:t>
      </w:r>
    </w:p>
    <w:p>
      <w:pPr>
        <w:spacing w:line="360" w:lineRule="auto"/>
        <w:jc w:val="center"/>
        <w:rPr>
          <w:rFonts w:ascii="黑体" w:hAnsi="宋体" w:eastAsia="黑体"/>
          <w:b/>
          <w:bCs/>
          <w:sz w:val="72"/>
          <w:szCs w:val="72"/>
        </w:rPr>
      </w:pPr>
      <w:r>
        <w:rPr>
          <w:rFonts w:hint="eastAsia" w:ascii="黑体" w:hAnsi="宋体" w:eastAsia="黑体"/>
          <w:b/>
          <w:bCs/>
          <w:sz w:val="72"/>
          <w:szCs w:val="72"/>
        </w:rPr>
        <w:t xml:space="preserve"> </w:t>
      </w:r>
    </w:p>
    <w:p>
      <w:pPr>
        <w:spacing w:line="360" w:lineRule="auto"/>
        <w:jc w:val="center"/>
        <w:rPr>
          <w:rFonts w:ascii="黑体" w:hAnsi="宋体" w:eastAsia="黑体"/>
          <w:b/>
          <w:bCs/>
          <w:sz w:val="72"/>
          <w:szCs w:val="72"/>
        </w:rPr>
      </w:pPr>
      <w:r>
        <w:rPr>
          <w:rFonts w:hint="eastAsia" w:ascii="黑体" w:hAnsi="宋体" w:eastAsia="黑体"/>
          <w:b/>
          <w:bCs/>
          <w:sz w:val="72"/>
          <w:szCs w:val="72"/>
        </w:rPr>
        <w:t xml:space="preserve"> </w:t>
      </w:r>
    </w:p>
    <w:p>
      <w:pPr>
        <w:spacing w:line="360" w:lineRule="auto"/>
        <w:jc w:val="center"/>
        <w:rPr>
          <w:rFonts w:ascii="黑体" w:hAnsi="宋体" w:eastAsia="黑体"/>
          <w:b/>
          <w:bCs/>
          <w:sz w:val="72"/>
          <w:szCs w:val="72"/>
        </w:rPr>
      </w:pPr>
      <w:bookmarkStart w:id="168" w:name="_Toc16600_WPSOffice_Level1"/>
      <w:bookmarkStart w:id="169" w:name="_Toc23323_WPSOffice_Level1"/>
      <w:bookmarkStart w:id="170" w:name="_Toc23995_WPSOffice_Level1"/>
      <w:r>
        <w:rPr>
          <w:rFonts w:hint="eastAsia" w:ascii="黑体" w:hAnsi="宋体" w:eastAsia="黑体"/>
          <w:b/>
          <w:bCs/>
          <w:sz w:val="72"/>
          <w:szCs w:val="72"/>
        </w:rPr>
        <w:t>报 价 文 件</w:t>
      </w:r>
      <w:bookmarkEnd w:id="168"/>
      <w:bookmarkEnd w:id="169"/>
      <w:bookmarkEnd w:id="170"/>
    </w:p>
    <w:p>
      <w:pPr>
        <w:spacing w:line="360" w:lineRule="auto"/>
        <w:rPr>
          <w:rFonts w:ascii="黑体" w:hAnsi="宋体" w:eastAsia="黑体"/>
          <w:b/>
          <w:bCs/>
          <w:sz w:val="32"/>
          <w:szCs w:val="32"/>
        </w:rPr>
      </w:pPr>
      <w:r>
        <w:rPr>
          <w:rFonts w:hint="eastAsia" w:ascii="黑体" w:hAnsi="宋体" w:eastAsia="黑体"/>
          <w:b/>
          <w:bCs/>
          <w:sz w:val="32"/>
          <w:szCs w:val="32"/>
        </w:rPr>
        <w:t xml:space="preserve"> </w:t>
      </w:r>
    </w:p>
    <w:p>
      <w:pPr>
        <w:spacing w:line="360" w:lineRule="auto"/>
        <w:rPr>
          <w:rFonts w:ascii="黑体" w:hAnsi="宋体" w:eastAsia="黑体"/>
          <w:b/>
          <w:bCs/>
          <w:sz w:val="32"/>
          <w:szCs w:val="32"/>
        </w:rPr>
      </w:pPr>
      <w:r>
        <w:rPr>
          <w:rFonts w:hint="eastAsia" w:ascii="黑体" w:hAnsi="宋体" w:eastAsia="黑体"/>
          <w:b/>
          <w:bCs/>
          <w:sz w:val="32"/>
          <w:szCs w:val="32"/>
        </w:rPr>
        <w:t xml:space="preserve"> </w:t>
      </w:r>
    </w:p>
    <w:p>
      <w:pPr>
        <w:spacing w:line="360" w:lineRule="auto"/>
        <w:rPr>
          <w:rFonts w:ascii="黑体" w:hAnsi="宋体" w:eastAsia="黑体"/>
          <w:b/>
          <w:bCs/>
          <w:sz w:val="32"/>
          <w:szCs w:val="32"/>
        </w:rPr>
      </w:pPr>
      <w:r>
        <w:rPr>
          <w:rFonts w:hint="eastAsia" w:ascii="黑体" w:hAnsi="宋体" w:eastAsia="黑体"/>
          <w:b/>
          <w:bCs/>
          <w:sz w:val="32"/>
          <w:szCs w:val="32"/>
        </w:rPr>
        <w:t xml:space="preserve"> </w:t>
      </w:r>
    </w:p>
    <w:p>
      <w:pPr>
        <w:spacing w:line="360" w:lineRule="auto"/>
        <w:rPr>
          <w:rFonts w:ascii="黑体" w:hAnsi="宋体" w:eastAsia="黑体"/>
          <w:b/>
          <w:bCs/>
          <w:sz w:val="32"/>
          <w:szCs w:val="32"/>
        </w:rPr>
      </w:pPr>
      <w:r>
        <w:rPr>
          <w:rFonts w:hint="eastAsia" w:ascii="黑体" w:hAnsi="宋体" w:eastAsia="黑体"/>
          <w:b/>
          <w:bCs/>
          <w:sz w:val="32"/>
          <w:szCs w:val="32"/>
        </w:rPr>
        <w:t xml:space="preserve"> </w:t>
      </w:r>
    </w:p>
    <w:p>
      <w:pPr>
        <w:spacing w:line="360" w:lineRule="auto"/>
        <w:rPr>
          <w:rFonts w:ascii="黑体" w:hAnsi="宋体" w:eastAsia="黑体"/>
          <w:b/>
          <w:bCs/>
          <w:sz w:val="32"/>
          <w:szCs w:val="32"/>
        </w:rPr>
      </w:pPr>
      <w:r>
        <w:rPr>
          <w:rFonts w:hint="eastAsia" w:ascii="黑体" w:hAnsi="宋体" w:eastAsia="黑体"/>
          <w:b/>
          <w:bCs/>
          <w:sz w:val="32"/>
          <w:szCs w:val="32"/>
        </w:rPr>
        <w:t xml:space="preserve"> </w:t>
      </w:r>
    </w:p>
    <w:p>
      <w:pPr>
        <w:spacing w:line="360" w:lineRule="auto"/>
        <w:rPr>
          <w:rFonts w:ascii="黑体" w:hAnsi="宋体" w:eastAsia="黑体"/>
          <w:b/>
          <w:bCs/>
          <w:sz w:val="32"/>
          <w:szCs w:val="32"/>
        </w:rPr>
      </w:pPr>
      <w:r>
        <w:rPr>
          <w:rFonts w:hint="eastAsia" w:ascii="黑体" w:hAnsi="宋体" w:eastAsia="黑体"/>
          <w:b/>
          <w:bCs/>
          <w:sz w:val="32"/>
          <w:szCs w:val="32"/>
        </w:rPr>
        <w:t xml:space="preserve"> </w:t>
      </w:r>
    </w:p>
    <w:p>
      <w:pPr>
        <w:spacing w:line="360" w:lineRule="auto"/>
        <w:rPr>
          <w:rFonts w:ascii="黑体" w:hAnsi="宋体" w:eastAsia="黑体"/>
          <w:b/>
          <w:bCs/>
          <w:sz w:val="32"/>
          <w:szCs w:val="32"/>
        </w:rPr>
      </w:pPr>
      <w:r>
        <w:rPr>
          <w:rFonts w:hint="eastAsia" w:ascii="黑体" w:hAnsi="宋体" w:eastAsia="黑体"/>
          <w:b/>
          <w:bCs/>
          <w:sz w:val="32"/>
          <w:szCs w:val="32"/>
        </w:rPr>
        <w:t xml:space="preserve"> </w:t>
      </w:r>
    </w:p>
    <w:p>
      <w:pPr>
        <w:spacing w:line="360" w:lineRule="auto"/>
        <w:rPr>
          <w:rFonts w:ascii="黑体" w:hAnsi="宋体" w:eastAsia="黑体"/>
          <w:b/>
          <w:bCs/>
          <w:sz w:val="32"/>
          <w:szCs w:val="32"/>
        </w:rPr>
      </w:pPr>
      <w:r>
        <w:rPr>
          <w:rFonts w:hint="eastAsia" w:ascii="黑体" w:hAnsi="宋体" w:eastAsia="黑体"/>
          <w:b/>
          <w:bCs/>
          <w:sz w:val="32"/>
          <w:szCs w:val="32"/>
        </w:rPr>
        <w:t xml:space="preserve"> </w:t>
      </w:r>
    </w:p>
    <w:p>
      <w:pPr>
        <w:spacing w:line="360" w:lineRule="auto"/>
        <w:rPr>
          <w:rFonts w:ascii="黑体" w:hAnsi="宋体" w:eastAsia="黑体"/>
          <w:b/>
          <w:bCs/>
          <w:sz w:val="32"/>
          <w:szCs w:val="32"/>
        </w:rPr>
      </w:pPr>
      <w:r>
        <w:rPr>
          <w:rFonts w:hint="eastAsia" w:ascii="黑体" w:hAnsi="宋体" w:eastAsia="黑体"/>
          <w:b/>
          <w:bCs/>
          <w:sz w:val="32"/>
          <w:szCs w:val="32"/>
        </w:rPr>
        <w:t xml:space="preserve"> </w:t>
      </w:r>
    </w:p>
    <w:p>
      <w:pPr>
        <w:spacing w:line="360" w:lineRule="auto"/>
        <w:ind w:firstLine="2409" w:firstLineChars="750"/>
        <w:rPr>
          <w:rFonts w:ascii="黑体" w:hAnsi="宋体" w:eastAsia="黑体"/>
          <w:b/>
          <w:bCs/>
          <w:sz w:val="32"/>
          <w:szCs w:val="32"/>
        </w:rPr>
      </w:pPr>
      <w:bookmarkStart w:id="171" w:name="_Toc8677_WPSOffice_Level1"/>
      <w:bookmarkStart w:id="172" w:name="_Toc4898_WPSOffice_Level1"/>
      <w:bookmarkStart w:id="173" w:name="_Toc16334_WPSOffice_Level1"/>
      <w:r>
        <w:rPr>
          <w:rFonts w:hint="eastAsia" w:ascii="黑体" w:hAnsi="宋体" w:eastAsia="黑体"/>
          <w:b/>
          <w:bCs/>
          <w:sz w:val="32"/>
          <w:szCs w:val="32"/>
        </w:rPr>
        <w:t>报价人：</w:t>
      </w:r>
      <w:r>
        <w:rPr>
          <w:rFonts w:hint="eastAsia" w:ascii="黑体" w:hAnsi="宋体" w:eastAsia="黑体"/>
          <w:b/>
          <w:bCs/>
          <w:sz w:val="32"/>
          <w:szCs w:val="32"/>
          <w:u w:val="single"/>
        </w:rPr>
        <w:t xml:space="preserve">             </w:t>
      </w:r>
      <w:r>
        <w:rPr>
          <w:rFonts w:hint="eastAsia" w:ascii="黑体" w:hAnsi="宋体" w:eastAsia="黑体"/>
          <w:b/>
          <w:bCs/>
          <w:sz w:val="32"/>
          <w:szCs w:val="32"/>
        </w:rPr>
        <w:t>（盖单位章）</w:t>
      </w:r>
      <w:bookmarkEnd w:id="171"/>
      <w:bookmarkEnd w:id="172"/>
      <w:bookmarkEnd w:id="173"/>
    </w:p>
    <w:p>
      <w:pPr>
        <w:spacing w:line="360" w:lineRule="auto"/>
        <w:ind w:firstLine="2570" w:firstLineChars="800"/>
        <w:rPr>
          <w:rFonts w:ascii="黑体" w:hAnsi="宋体" w:eastAsia="黑体"/>
          <w:b/>
          <w:bCs/>
          <w:sz w:val="32"/>
          <w:szCs w:val="32"/>
        </w:rPr>
      </w:pPr>
      <w:r>
        <w:rPr>
          <w:rFonts w:hint="eastAsia" w:ascii="黑体" w:hAnsi="宋体" w:eastAsia="黑体"/>
          <w:b/>
          <w:bCs/>
          <w:sz w:val="32"/>
          <w:szCs w:val="32"/>
          <w:u w:val="single"/>
        </w:rPr>
        <w:t xml:space="preserve">        </w:t>
      </w:r>
      <w:bookmarkStart w:id="174" w:name="_Toc3767_WPSOffice_Level1"/>
      <w:bookmarkStart w:id="175" w:name="_Toc27902_WPSOffice_Level1"/>
      <w:bookmarkStart w:id="176" w:name="_Toc3508_WPSOffice_Level1"/>
      <w:r>
        <w:rPr>
          <w:rFonts w:hint="eastAsia" w:ascii="黑体" w:hAnsi="宋体" w:eastAsia="黑体"/>
          <w:b/>
          <w:bCs/>
          <w:sz w:val="32"/>
          <w:szCs w:val="32"/>
        </w:rPr>
        <w:t>年</w:t>
      </w:r>
      <w:r>
        <w:rPr>
          <w:rFonts w:hint="eastAsia" w:ascii="黑体" w:hAnsi="宋体" w:eastAsia="黑体"/>
          <w:b/>
          <w:bCs/>
          <w:sz w:val="32"/>
          <w:szCs w:val="32"/>
          <w:u w:val="single"/>
        </w:rPr>
        <w:t xml:space="preserve">      </w:t>
      </w:r>
      <w:r>
        <w:rPr>
          <w:rFonts w:hint="eastAsia" w:ascii="黑体" w:hAnsi="宋体" w:eastAsia="黑体"/>
          <w:b/>
          <w:bCs/>
          <w:sz w:val="32"/>
          <w:szCs w:val="32"/>
        </w:rPr>
        <w:t>月</w:t>
      </w:r>
      <w:r>
        <w:rPr>
          <w:rFonts w:hint="eastAsia" w:ascii="黑体" w:hAnsi="宋体" w:eastAsia="黑体"/>
          <w:b/>
          <w:bCs/>
          <w:sz w:val="32"/>
          <w:szCs w:val="32"/>
          <w:u w:val="single"/>
        </w:rPr>
        <w:t xml:space="preserve">    </w:t>
      </w:r>
      <w:r>
        <w:rPr>
          <w:rFonts w:hint="eastAsia" w:ascii="黑体" w:hAnsi="宋体" w:eastAsia="黑体"/>
          <w:b/>
          <w:bCs/>
          <w:sz w:val="32"/>
          <w:szCs w:val="32"/>
        </w:rPr>
        <w:t>日</w:t>
      </w:r>
      <w:bookmarkEnd w:id="174"/>
      <w:bookmarkEnd w:id="175"/>
      <w:bookmarkEnd w:id="176"/>
    </w:p>
    <w:p>
      <w:pPr>
        <w:pStyle w:val="123"/>
        <w:rPr>
          <w:sz w:val="20"/>
          <w:szCs w:val="20"/>
        </w:rPr>
      </w:pPr>
      <w:r>
        <w:rPr>
          <w:sz w:val="20"/>
          <w:szCs w:val="20"/>
        </w:rPr>
        <w:br w:type="page"/>
      </w:r>
      <w:bookmarkStart w:id="177" w:name="_Toc144974856"/>
      <w:bookmarkStart w:id="178" w:name="_Toc152042576"/>
      <w:bookmarkStart w:id="179" w:name="_Toc152045787"/>
      <w:bookmarkStart w:id="180" w:name="_Toc447808694"/>
      <w:bookmarkStart w:id="181" w:name="_Toc457482581"/>
      <w:bookmarkStart w:id="182" w:name="_Toc447010412"/>
    </w:p>
    <w:p>
      <w:pPr>
        <w:pStyle w:val="123"/>
        <w:rPr>
          <w:rFonts w:ascii="方正小标宋简体" w:eastAsia="方正小标宋简体"/>
          <w:sz w:val="44"/>
          <w:szCs w:val="44"/>
        </w:rPr>
      </w:pPr>
      <w:bookmarkStart w:id="183" w:name="_Toc13804_WPSOffice_Level1"/>
      <w:bookmarkStart w:id="184" w:name="_Toc27647_WPSOffice_Level1"/>
      <w:r>
        <w:rPr>
          <w:rFonts w:hint="eastAsia" w:ascii="方正小标宋简体" w:eastAsia="方正小标宋简体"/>
          <w:sz w:val="44"/>
          <w:szCs w:val="44"/>
        </w:rPr>
        <w:t>目    录</w:t>
      </w:r>
      <w:bookmarkEnd w:id="177"/>
      <w:bookmarkEnd w:id="178"/>
      <w:bookmarkEnd w:id="179"/>
      <w:bookmarkEnd w:id="180"/>
      <w:bookmarkEnd w:id="181"/>
      <w:bookmarkEnd w:id="182"/>
      <w:bookmarkEnd w:id="183"/>
      <w:bookmarkEnd w:id="184"/>
    </w:p>
    <w:p>
      <w:pPr>
        <w:spacing w:line="360" w:lineRule="auto"/>
        <w:rPr>
          <w:rFonts w:asciiTheme="majorEastAsia" w:hAnsiTheme="majorEastAsia" w:eastAsiaTheme="majorEastAsia"/>
        </w:rPr>
      </w:pPr>
      <w:bookmarkStart w:id="185" w:name="_Toc15761_WPSOffice_Level1"/>
      <w:bookmarkStart w:id="186" w:name="_Toc14809_WPSOffice_Level1"/>
      <w:bookmarkStart w:id="187" w:name="_Toc21623_WPSOffice_Level1"/>
      <w:r>
        <w:rPr>
          <w:rFonts w:hint="eastAsia" w:asciiTheme="majorEastAsia" w:hAnsiTheme="majorEastAsia" w:eastAsiaTheme="majorEastAsia"/>
        </w:rPr>
        <w:t>一、报价函</w:t>
      </w:r>
      <w:bookmarkEnd w:id="185"/>
      <w:bookmarkEnd w:id="186"/>
      <w:bookmarkEnd w:id="187"/>
    </w:p>
    <w:p>
      <w:pPr>
        <w:spacing w:line="360" w:lineRule="auto"/>
        <w:rPr>
          <w:rFonts w:asciiTheme="majorEastAsia" w:hAnsiTheme="majorEastAsia" w:eastAsiaTheme="majorEastAsia"/>
        </w:rPr>
      </w:pPr>
      <w:bookmarkStart w:id="188" w:name="_Toc27750_WPSOffice_Level1"/>
      <w:bookmarkStart w:id="189" w:name="_Toc16766_WPSOffice_Level1"/>
      <w:bookmarkStart w:id="190" w:name="_Toc3462_WPSOffice_Level1"/>
      <w:r>
        <w:rPr>
          <w:rFonts w:hint="eastAsia" w:asciiTheme="majorEastAsia" w:hAnsiTheme="majorEastAsia" w:eastAsiaTheme="majorEastAsia"/>
        </w:rPr>
        <w:t>二、授权委托书</w:t>
      </w:r>
      <w:bookmarkEnd w:id="188"/>
      <w:bookmarkEnd w:id="189"/>
      <w:bookmarkEnd w:id="190"/>
    </w:p>
    <w:p>
      <w:pPr>
        <w:spacing w:line="360" w:lineRule="auto"/>
        <w:rPr>
          <w:rFonts w:asciiTheme="majorEastAsia" w:hAnsiTheme="majorEastAsia" w:eastAsiaTheme="majorEastAsia"/>
        </w:rPr>
      </w:pPr>
      <w:bookmarkStart w:id="191" w:name="_Toc2374_WPSOffice_Level1"/>
      <w:bookmarkStart w:id="192" w:name="_Toc22750_WPSOffice_Level1"/>
      <w:bookmarkStart w:id="193" w:name="_Toc32356_WPSOffice_Level1"/>
      <w:r>
        <w:rPr>
          <w:rFonts w:hint="eastAsia" w:asciiTheme="majorEastAsia" w:hAnsiTheme="majorEastAsia" w:eastAsiaTheme="majorEastAsia"/>
        </w:rPr>
        <w:t>三、施工方案</w:t>
      </w:r>
      <w:bookmarkEnd w:id="191"/>
      <w:bookmarkEnd w:id="192"/>
      <w:bookmarkEnd w:id="193"/>
    </w:p>
    <w:p>
      <w:pPr>
        <w:spacing w:line="360" w:lineRule="auto"/>
        <w:rPr>
          <w:rFonts w:asciiTheme="majorEastAsia" w:hAnsiTheme="majorEastAsia" w:eastAsiaTheme="majorEastAsia"/>
        </w:rPr>
      </w:pPr>
      <w:bookmarkStart w:id="194" w:name="_Toc9197_WPSOffice_Level1"/>
      <w:bookmarkStart w:id="195" w:name="_Toc15821_WPSOffice_Level1"/>
      <w:bookmarkStart w:id="196" w:name="_Toc4382_WPSOffice_Level1"/>
      <w:r>
        <w:rPr>
          <w:rFonts w:hint="eastAsia" w:asciiTheme="majorEastAsia" w:hAnsiTheme="majorEastAsia" w:eastAsiaTheme="majorEastAsia"/>
        </w:rPr>
        <w:t>四、资格审查资料</w:t>
      </w:r>
      <w:bookmarkEnd w:id="194"/>
      <w:bookmarkEnd w:id="195"/>
      <w:bookmarkEnd w:id="196"/>
    </w:p>
    <w:p>
      <w:pPr>
        <w:spacing w:line="360" w:lineRule="auto"/>
        <w:rPr>
          <w:rFonts w:asciiTheme="majorEastAsia" w:hAnsiTheme="majorEastAsia" w:eastAsiaTheme="majorEastAsia"/>
        </w:rPr>
      </w:pPr>
      <w:r>
        <w:rPr>
          <w:rFonts w:asciiTheme="majorEastAsia" w:hAnsiTheme="majorEastAsia" w:eastAsiaTheme="majorEastAsia"/>
        </w:rPr>
        <w:t>(一)</w:t>
      </w:r>
      <w:r>
        <w:rPr>
          <w:rFonts w:hint="eastAsia" w:asciiTheme="majorEastAsia" w:hAnsiTheme="majorEastAsia" w:eastAsiaTheme="majorEastAsia"/>
        </w:rPr>
        <w:t>报价</w:t>
      </w:r>
      <w:r>
        <w:rPr>
          <w:rFonts w:asciiTheme="majorEastAsia" w:hAnsiTheme="majorEastAsia" w:eastAsiaTheme="majorEastAsia"/>
        </w:rPr>
        <w:t>人基本情况表</w:t>
      </w:r>
    </w:p>
    <w:p>
      <w:pPr>
        <w:spacing w:line="360" w:lineRule="auto"/>
        <w:rPr>
          <w:rFonts w:asciiTheme="majorEastAsia" w:hAnsiTheme="majorEastAsia" w:eastAsiaTheme="majorEastAsia"/>
        </w:rPr>
      </w:pPr>
      <w:r>
        <w:rPr>
          <w:rFonts w:hint="eastAsia" w:asciiTheme="majorEastAsia" w:hAnsiTheme="majorEastAsia" w:eastAsiaTheme="majorEastAsia"/>
        </w:rPr>
        <w:t>(二)近年完成的类似业绩情况表</w:t>
      </w:r>
    </w:p>
    <w:p>
      <w:pPr>
        <w:spacing w:line="360" w:lineRule="auto"/>
        <w:rPr>
          <w:rFonts w:asciiTheme="majorEastAsia" w:hAnsiTheme="majorEastAsia" w:eastAsiaTheme="majorEastAsia"/>
        </w:rPr>
      </w:pPr>
      <w:bookmarkStart w:id="197" w:name="_Toc11245_WPSOffice_Level1"/>
      <w:bookmarkStart w:id="198" w:name="_Toc32079_WPSOffice_Level1"/>
      <w:bookmarkStart w:id="199" w:name="_Toc9746_WPSOffice_Level1"/>
      <w:r>
        <w:rPr>
          <w:rFonts w:hint="eastAsia" w:asciiTheme="majorEastAsia" w:hAnsiTheme="majorEastAsia" w:eastAsiaTheme="majorEastAsia"/>
        </w:rPr>
        <w:t>五、已标价的工程量清单</w:t>
      </w:r>
      <w:bookmarkEnd w:id="197"/>
      <w:bookmarkEnd w:id="198"/>
      <w:bookmarkEnd w:id="199"/>
    </w:p>
    <w:p>
      <w:pPr>
        <w:spacing w:line="360" w:lineRule="auto"/>
        <w:jc w:val="center"/>
        <w:rPr>
          <w:rFonts w:ascii="楷体_GB2312" w:hAnsi="Tahoma" w:eastAsia="楷体_GB2312"/>
          <w:b/>
          <w:szCs w:val="21"/>
        </w:rPr>
      </w:pPr>
      <w:r>
        <w:rPr>
          <w:sz w:val="20"/>
        </w:rPr>
        <w:br w:type="page"/>
      </w:r>
      <w:bookmarkStart w:id="200" w:name="_Toc30213_WPSOffice_Level1"/>
      <w:bookmarkStart w:id="201" w:name="_Toc528058035"/>
      <w:bookmarkStart w:id="202" w:name="_Toc457482582"/>
      <w:bookmarkStart w:id="203" w:name="_Toc28950_WPSOffice_Level1"/>
      <w:bookmarkStart w:id="204" w:name="_Toc30452_WPSOffice_Level1"/>
      <w:r>
        <w:rPr>
          <w:b/>
          <w:sz w:val="28"/>
          <w:szCs w:val="28"/>
        </w:rPr>
        <w:t>一、</w:t>
      </w:r>
      <w:r>
        <w:rPr>
          <w:rFonts w:hint="eastAsia"/>
          <w:b/>
          <w:sz w:val="28"/>
          <w:szCs w:val="28"/>
        </w:rPr>
        <w:t>报价函</w:t>
      </w:r>
      <w:bookmarkEnd w:id="200"/>
      <w:bookmarkEnd w:id="201"/>
      <w:bookmarkEnd w:id="202"/>
      <w:bookmarkEnd w:id="203"/>
      <w:bookmarkEnd w:id="204"/>
    </w:p>
    <w:p>
      <w:pPr>
        <w:spacing w:line="360" w:lineRule="auto"/>
        <w:rPr>
          <w:szCs w:val="20"/>
        </w:rPr>
      </w:pPr>
    </w:p>
    <w:p>
      <w:pPr>
        <w:spacing w:line="360" w:lineRule="auto"/>
      </w:pPr>
      <w:r>
        <w:rPr>
          <w:u w:val="single"/>
        </w:rPr>
        <w:t xml:space="preserve">                        </w:t>
      </w:r>
      <w:r>
        <w:t>(</w:t>
      </w:r>
      <w:r>
        <w:rPr>
          <w:rFonts w:hint="eastAsia"/>
        </w:rPr>
        <w:t>询价</w:t>
      </w:r>
      <w:r>
        <w:t>人名称)：</w:t>
      </w:r>
    </w:p>
    <w:p>
      <w:pPr>
        <w:spacing w:line="360" w:lineRule="auto"/>
      </w:pPr>
    </w:p>
    <w:p>
      <w:pPr>
        <w:spacing w:line="360" w:lineRule="auto"/>
      </w:pPr>
      <w:r>
        <w:t>1．我方已仔细研究了</w:t>
      </w:r>
      <w:r>
        <w:rPr>
          <w:u w:val="single"/>
        </w:rPr>
        <w:t xml:space="preserve">                      </w:t>
      </w:r>
      <w:r>
        <w:t>(项目名称)询价文件的全部内容(含补遗书第</w:t>
      </w:r>
      <w:r>
        <w:rPr>
          <w:u w:val="single"/>
        </w:rPr>
        <w:t xml:space="preserve">    </w:t>
      </w:r>
      <w:r>
        <w:t>号至第</w:t>
      </w:r>
      <w:r>
        <w:rPr>
          <w:u w:val="single"/>
        </w:rPr>
        <w:t xml:space="preserve">   </w:t>
      </w:r>
      <w:r>
        <w:t>号)，愿意以人民币(大写)</w:t>
      </w:r>
      <w:r>
        <w:rPr>
          <w:u w:val="single"/>
        </w:rPr>
        <w:t xml:space="preserve">   </w:t>
      </w:r>
      <w:r>
        <w:rPr>
          <w:rFonts w:hint="eastAsia"/>
          <w:u w:val="single"/>
        </w:rPr>
        <w:t xml:space="preserve">  </w:t>
      </w:r>
      <w:r>
        <w:rPr>
          <w:u w:val="single"/>
        </w:rPr>
        <w:t xml:space="preserve">     </w:t>
      </w:r>
      <w:r>
        <w:t>元(¥</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)的总报价</w:t>
      </w:r>
      <w:r>
        <w:rPr>
          <w:spacing w:val="-4"/>
        </w:rPr>
        <w:t>，</w:t>
      </w:r>
      <w:r>
        <w:rPr>
          <w:rFonts w:hint="eastAsia"/>
          <w:spacing w:val="-4"/>
        </w:rPr>
        <w:t>按照合同要求工期，</w:t>
      </w:r>
      <w:r>
        <w:rPr>
          <w:spacing w:val="-4"/>
        </w:rPr>
        <w:t>质量标准达到</w:t>
      </w:r>
      <w:r>
        <w:rPr>
          <w:b/>
          <w:u w:val="single"/>
        </w:rPr>
        <w:t xml:space="preserve">           </w:t>
      </w:r>
      <w:r>
        <w:rPr>
          <w:spacing w:val="-4"/>
        </w:rPr>
        <w:t>，并按合同约定履行义务。</w:t>
      </w:r>
    </w:p>
    <w:p>
      <w:pPr>
        <w:spacing w:line="360" w:lineRule="auto"/>
      </w:pPr>
      <w:r>
        <w:t>2．我方响应询价文件的全部要求。</w:t>
      </w:r>
    </w:p>
    <w:p>
      <w:pPr>
        <w:spacing w:line="360" w:lineRule="auto"/>
      </w:pPr>
      <w:r>
        <w:t>3．我方承诺在询价文件规定的</w:t>
      </w:r>
      <w:r>
        <w:rPr>
          <w:rFonts w:hint="eastAsia"/>
        </w:rPr>
        <w:t>报价</w:t>
      </w:r>
      <w:r>
        <w:t>有效期内不撤销响应文件。</w:t>
      </w:r>
    </w:p>
    <w:p>
      <w:pPr>
        <w:spacing w:line="360" w:lineRule="auto"/>
      </w:pPr>
      <w:r>
        <w:t>4．如我方作为成交人，我方承诺：</w:t>
      </w:r>
    </w:p>
    <w:p>
      <w:pPr>
        <w:spacing w:line="360" w:lineRule="auto"/>
      </w:pPr>
      <w:r>
        <w:t>(1)在收到成交通知书后，在成交通知书规定的期限内与你方签订合同；</w:t>
      </w:r>
    </w:p>
    <w:p>
      <w:pPr>
        <w:spacing w:line="360" w:lineRule="auto"/>
      </w:pPr>
      <w:r>
        <w:t>(2)在签订合同时不向你方提出附加条件；</w:t>
      </w:r>
    </w:p>
    <w:p>
      <w:pPr>
        <w:spacing w:line="360" w:lineRule="auto"/>
      </w:pPr>
      <w:r>
        <w:t>(3)在合同约定的期限内完成合同规定的全部义务；</w:t>
      </w:r>
    </w:p>
    <w:p>
      <w:pPr>
        <w:spacing w:line="360" w:lineRule="auto"/>
      </w:pPr>
      <w:r>
        <w:t>(4)我方拟委任的项目</w:t>
      </w:r>
      <w:r>
        <w:rPr>
          <w:rFonts w:hint="eastAsia"/>
        </w:rPr>
        <w:t>经理</w:t>
      </w:r>
      <w:r>
        <w:t>为：</w:t>
      </w:r>
      <w:r>
        <w:rPr>
          <w:u w:val="single"/>
        </w:rPr>
        <w:t xml:space="preserve"> </w:t>
      </w:r>
      <w:r>
        <w:rPr>
          <w:rFonts w:hint="eastAsia"/>
          <w:u w:val="single"/>
        </w:rPr>
        <w:t xml:space="preserve">       </w:t>
      </w:r>
      <w:r>
        <w:rPr>
          <w:u w:val="single"/>
        </w:rPr>
        <w:t xml:space="preserve">(姓名) </w:t>
      </w:r>
      <w:r>
        <w:t>。</w:t>
      </w:r>
    </w:p>
    <w:p>
      <w:pPr>
        <w:spacing w:line="360" w:lineRule="auto"/>
      </w:pPr>
      <w:r>
        <w:rPr>
          <w:rFonts w:hint="eastAsia"/>
        </w:rPr>
        <w:t>5</w:t>
      </w:r>
      <w:r>
        <w:t>．我方在此声明，所递交的响应文件及有关资料内容完整、真实和准确，且不存在第二章“</w:t>
      </w:r>
      <w:r>
        <w:rPr>
          <w:rFonts w:hint="eastAsia"/>
          <w:lang w:eastAsia="zh-CN"/>
        </w:rPr>
        <w:t>报价人</w:t>
      </w:r>
      <w:r>
        <w:t>须知”第 1.4.3 项规定的任何一种情形。</w:t>
      </w:r>
    </w:p>
    <w:p>
      <w:pPr>
        <w:spacing w:line="360" w:lineRule="auto"/>
        <w:rPr>
          <w:szCs w:val="21"/>
        </w:rPr>
      </w:pPr>
      <w:r>
        <w:rPr>
          <w:rFonts w:hint="eastAsia"/>
          <w:szCs w:val="21"/>
        </w:rPr>
        <w:t>6</w:t>
      </w:r>
      <w:r>
        <w:rPr>
          <w:szCs w:val="21"/>
        </w:rPr>
        <w:t>．</w:t>
      </w:r>
      <w:r>
        <w:t>在合同协议书正式签署生效之前，本报价函连同你方的成交通知书将构成我们双方之间共同遵守的文件，对双方具有约束力。</w:t>
      </w:r>
    </w:p>
    <w:p>
      <w:pPr>
        <w:spacing w:line="360" w:lineRule="auto"/>
      </w:pPr>
      <w:r>
        <w:rPr>
          <w:rFonts w:hint="eastAsia"/>
        </w:rPr>
        <w:t>7</w:t>
      </w:r>
      <w:r>
        <w:t>．(</w:t>
      </w:r>
      <w:r>
        <w:rPr>
          <w:rFonts w:hint="eastAsia"/>
        </w:rPr>
        <w:t>其他</w:t>
      </w:r>
      <w:r>
        <w:t>补充说明)。</w:t>
      </w:r>
    </w:p>
    <w:p>
      <w:pPr>
        <w:spacing w:line="360" w:lineRule="auto"/>
      </w:pPr>
    </w:p>
    <w:p>
      <w:pPr>
        <w:spacing w:line="360" w:lineRule="auto"/>
        <w:ind w:firstLine="4393" w:firstLineChars="2092"/>
      </w:pPr>
      <w:r>
        <w:rPr>
          <w:rFonts w:hint="eastAsia"/>
        </w:rPr>
        <w:t xml:space="preserve">报  价  </w:t>
      </w:r>
      <w:r>
        <w:t>人：</w:t>
      </w:r>
      <w:r>
        <w:rPr>
          <w:u w:val="single"/>
        </w:rPr>
        <w:t xml:space="preserve">                      </w:t>
      </w:r>
      <w:r>
        <w:t>(盖单位章)</w:t>
      </w:r>
    </w:p>
    <w:p>
      <w:pPr>
        <w:spacing w:line="360" w:lineRule="auto"/>
        <w:ind w:firstLine="4393" w:firstLineChars="2092"/>
      </w:pPr>
      <w:r>
        <w:t>法定代表人</w:t>
      </w:r>
      <w:r>
        <w:rPr>
          <w:rFonts w:hint="eastAsia"/>
        </w:rPr>
        <w:t>：</w:t>
      </w:r>
      <w:r>
        <w:rPr>
          <w:u w:val="single"/>
        </w:rPr>
        <w:t xml:space="preserve">      </w:t>
      </w:r>
      <w:r>
        <w:rPr>
          <w:rFonts w:hint="eastAsia"/>
          <w:u w:val="single"/>
        </w:rPr>
        <w:t xml:space="preserve">   </w:t>
      </w:r>
      <w:r>
        <w:rPr>
          <w:u w:val="single"/>
        </w:rPr>
        <w:t xml:space="preserve"> </w:t>
      </w:r>
      <w:r>
        <w:t>(签字)</w:t>
      </w:r>
    </w:p>
    <w:p>
      <w:pPr>
        <w:spacing w:line="360" w:lineRule="auto"/>
        <w:ind w:firstLine="4393" w:firstLineChars="2092"/>
      </w:pPr>
      <w:r>
        <w:t>或</w:t>
      </w:r>
    </w:p>
    <w:p>
      <w:pPr>
        <w:spacing w:line="360" w:lineRule="auto"/>
        <w:ind w:firstLine="4393" w:firstLineChars="2092"/>
      </w:pPr>
      <w:r>
        <w:t>其委托代理人：</w:t>
      </w:r>
      <w:r>
        <w:rPr>
          <w:u w:val="single"/>
        </w:rPr>
        <w:t xml:space="preserve">      </w:t>
      </w:r>
      <w:r>
        <w:rPr>
          <w:rFonts w:hint="eastAsia"/>
          <w:u w:val="single"/>
        </w:rPr>
        <w:t xml:space="preserve">   </w:t>
      </w:r>
      <w:r>
        <w:rPr>
          <w:u w:val="single"/>
        </w:rPr>
        <w:t xml:space="preserve"> </w:t>
      </w:r>
      <w:r>
        <w:t>(签字)</w:t>
      </w:r>
    </w:p>
    <w:p>
      <w:pPr>
        <w:spacing w:line="360" w:lineRule="auto"/>
        <w:ind w:firstLine="4393" w:firstLineChars="2092"/>
      </w:pPr>
      <w:r>
        <w:t xml:space="preserve">                              </w:t>
      </w:r>
    </w:p>
    <w:p>
      <w:pPr>
        <w:spacing w:line="360" w:lineRule="auto"/>
        <w:ind w:firstLine="4393" w:firstLineChars="2092"/>
      </w:pPr>
      <w:r>
        <w:rPr>
          <w:rFonts w:hint="eastAsia"/>
        </w:rPr>
        <w:t xml:space="preserve">        </w:t>
      </w:r>
      <w:r>
        <w:t>年</w:t>
      </w:r>
      <w:r>
        <w:rPr>
          <w:rFonts w:hint="eastAsia"/>
        </w:rPr>
        <w:t xml:space="preserve">        </w:t>
      </w:r>
      <w:r>
        <w:t>月</w:t>
      </w:r>
      <w:r>
        <w:rPr>
          <w:rFonts w:hint="eastAsia"/>
        </w:rPr>
        <w:t xml:space="preserve">       </w:t>
      </w:r>
      <w:r>
        <w:t>日</w:t>
      </w:r>
    </w:p>
    <w:p>
      <w:pPr>
        <w:spacing w:line="360" w:lineRule="auto"/>
        <w:jc w:val="center"/>
        <w:rPr>
          <w:b/>
          <w:sz w:val="28"/>
          <w:szCs w:val="28"/>
        </w:rPr>
      </w:pPr>
      <w:bookmarkStart w:id="205" w:name="_Toc152042579"/>
      <w:bookmarkStart w:id="206" w:name="_Toc144974859"/>
      <w:bookmarkStart w:id="207" w:name="_Toc152045790"/>
      <w:r>
        <w:rPr>
          <w:szCs w:val="20"/>
        </w:rPr>
        <w:br w:type="page"/>
      </w:r>
      <w:bookmarkEnd w:id="205"/>
      <w:bookmarkEnd w:id="206"/>
      <w:bookmarkEnd w:id="207"/>
      <w:bookmarkStart w:id="208" w:name="_Toc152042580"/>
      <w:bookmarkStart w:id="209" w:name="_Toc152045791"/>
      <w:bookmarkStart w:id="210" w:name="_Toc144974860"/>
      <w:bookmarkStart w:id="211" w:name="_Toc528058036"/>
      <w:bookmarkStart w:id="212" w:name="_Toc20761_WPSOffice_Level1"/>
      <w:bookmarkStart w:id="213" w:name="_Toc15027_WPSOffice_Level1"/>
      <w:bookmarkStart w:id="214" w:name="_Toc24223_WPSOffice_Level1"/>
      <w:bookmarkStart w:id="215" w:name="_Toc447808696"/>
      <w:bookmarkStart w:id="216" w:name="_Toc457482583"/>
      <w:r>
        <w:rPr>
          <w:rFonts w:hint="eastAsia"/>
          <w:b/>
          <w:sz w:val="28"/>
          <w:szCs w:val="28"/>
        </w:rPr>
        <w:t>二、</w:t>
      </w:r>
      <w:bookmarkEnd w:id="208"/>
      <w:bookmarkEnd w:id="209"/>
      <w:bookmarkEnd w:id="210"/>
      <w:r>
        <w:rPr>
          <w:rFonts w:hint="eastAsia"/>
          <w:b/>
          <w:sz w:val="28"/>
          <w:szCs w:val="28"/>
        </w:rPr>
        <w:t>授权委托书</w:t>
      </w:r>
      <w:bookmarkEnd w:id="211"/>
      <w:bookmarkEnd w:id="212"/>
      <w:bookmarkEnd w:id="213"/>
      <w:bookmarkEnd w:id="214"/>
      <w:bookmarkEnd w:id="215"/>
      <w:bookmarkEnd w:id="216"/>
    </w:p>
    <w:p>
      <w:pPr>
        <w:pStyle w:val="2"/>
        <w:spacing w:line="360" w:lineRule="auto"/>
      </w:pPr>
    </w:p>
    <w:p>
      <w:pPr>
        <w:spacing w:line="360" w:lineRule="auto"/>
        <w:ind w:firstLine="630" w:firstLineChars="300"/>
      </w:pPr>
      <w:r>
        <w:t>本人</w:t>
      </w:r>
      <w:r>
        <w:rPr>
          <w:u w:val="single"/>
        </w:rPr>
        <w:t xml:space="preserve">       </w:t>
      </w:r>
      <w:r>
        <w:t>(姓名)系</w:t>
      </w:r>
      <w:r>
        <w:rPr>
          <w:u w:val="single"/>
        </w:rPr>
        <w:t xml:space="preserve">        </w:t>
      </w:r>
      <w:r>
        <w:t>(</w:t>
      </w:r>
      <w:r>
        <w:rPr>
          <w:rFonts w:hint="eastAsia"/>
        </w:rPr>
        <w:t>报价</w:t>
      </w:r>
      <w:r>
        <w:t>人名称)的法定代表人，现委托</w:t>
      </w:r>
      <w:r>
        <w:rPr>
          <w:u w:val="single"/>
        </w:rPr>
        <w:t xml:space="preserve">        </w:t>
      </w:r>
      <w:r>
        <w:t>(姓名)为我方代理人。代理人根据授权，以我方名义签署、澄清</w:t>
      </w:r>
      <w:r>
        <w:rPr>
          <w:rFonts w:hint="eastAsia"/>
        </w:rPr>
        <w:t>确认</w:t>
      </w:r>
      <w:r>
        <w:t>、递交、撤回、修改</w:t>
      </w:r>
      <w:r>
        <w:rPr>
          <w:rFonts w:hint="eastAsia" w:ascii="宋体" w:hAnsi="宋体" w:cs="宋体"/>
          <w:u w:val="single"/>
        </w:rPr>
        <w:t xml:space="preserve">         </w:t>
      </w:r>
      <w:r>
        <w:rPr>
          <w:rFonts w:hint="eastAsia" w:ascii="宋体" w:hAnsi="宋体" w:cs="宋体"/>
        </w:rPr>
        <w:t>(项目名称)询价</w:t>
      </w:r>
      <w:r>
        <w:rPr>
          <w:rFonts w:ascii="宋体" w:hAnsi="宋体" w:cs="宋体"/>
        </w:rPr>
        <w:t>项目</w:t>
      </w:r>
      <w:r>
        <w:rPr>
          <w:rFonts w:hint="eastAsia" w:ascii="宋体" w:hAnsi="宋体" w:cs="宋体"/>
        </w:rPr>
        <w:t>响应</w:t>
      </w:r>
      <w:r>
        <w:rPr>
          <w:rFonts w:ascii="宋体" w:hAnsi="宋体" w:cs="宋体"/>
        </w:rPr>
        <w:t>文件、签订合同和处理有关事宜</w:t>
      </w:r>
      <w:r>
        <w:t>，其法律后果由我方承担。</w:t>
      </w:r>
    </w:p>
    <w:p>
      <w:pPr>
        <w:spacing w:line="360" w:lineRule="auto"/>
      </w:pPr>
      <w:r>
        <w:t xml:space="preserve">    委托期限：</w:t>
      </w:r>
      <w:r>
        <w:rPr>
          <w:u w:val="single"/>
        </w:rPr>
        <w:t xml:space="preserve">             </w:t>
      </w:r>
      <w:r>
        <w:rPr>
          <w:rFonts w:hint="eastAsia"/>
        </w:rPr>
        <w:t>。</w:t>
      </w:r>
    </w:p>
    <w:p>
      <w:pPr>
        <w:spacing w:line="360" w:lineRule="auto"/>
      </w:pPr>
      <w:r>
        <w:t>代理人无转委托权。</w:t>
      </w:r>
    </w:p>
    <w:p>
      <w:pPr>
        <w:spacing w:line="360" w:lineRule="auto"/>
      </w:pPr>
      <w:r>
        <w:rPr>
          <w:rFonts w:hint="eastAsia"/>
        </w:rPr>
        <w:t>附：法定代表人和委托代理人的身份证复印件</w:t>
      </w:r>
    </w:p>
    <w:p>
      <w:pPr>
        <w:spacing w:line="360" w:lineRule="auto"/>
      </w:pPr>
    </w:p>
    <w:p>
      <w:pPr>
        <w:spacing w:line="360" w:lineRule="auto"/>
      </w:pPr>
    </w:p>
    <w:p>
      <w:pPr>
        <w:spacing w:line="360" w:lineRule="auto"/>
      </w:pPr>
    </w:p>
    <w:p>
      <w:pPr>
        <w:topLinePunct/>
        <w:spacing w:line="360" w:lineRule="auto"/>
        <w:ind w:firstLine="4109" w:firstLineChars="1957"/>
        <w:rPr>
          <w:szCs w:val="21"/>
        </w:rPr>
      </w:pPr>
      <w:r>
        <w:rPr>
          <w:rFonts w:hint="eastAsia"/>
          <w:szCs w:val="21"/>
        </w:rPr>
        <w:t>报价</w:t>
      </w:r>
      <w:r>
        <w:rPr>
          <w:szCs w:val="21"/>
        </w:rPr>
        <w:t>人：</w:t>
      </w:r>
      <w:r>
        <w:rPr>
          <w:szCs w:val="21"/>
          <w:u w:val="single"/>
        </w:rPr>
        <w:t xml:space="preserve">                      </w:t>
      </w:r>
      <w:r>
        <w:rPr>
          <w:szCs w:val="21"/>
        </w:rPr>
        <w:t>(盖单位章)</w:t>
      </w:r>
    </w:p>
    <w:p>
      <w:pPr>
        <w:topLinePunct/>
        <w:spacing w:line="360" w:lineRule="auto"/>
        <w:ind w:firstLine="4109" w:firstLineChars="1957"/>
        <w:rPr>
          <w:szCs w:val="21"/>
        </w:rPr>
      </w:pPr>
      <w:r>
        <w:rPr>
          <w:szCs w:val="21"/>
        </w:rPr>
        <w:t>法定代表人：</w:t>
      </w:r>
      <w:r>
        <w:rPr>
          <w:szCs w:val="21"/>
          <w:u w:val="single"/>
        </w:rPr>
        <w:t xml:space="preserve">                      </w:t>
      </w:r>
      <w:r>
        <w:rPr>
          <w:szCs w:val="21"/>
        </w:rPr>
        <w:t>(签字)</w:t>
      </w:r>
    </w:p>
    <w:p>
      <w:pPr>
        <w:topLinePunct/>
        <w:spacing w:line="360" w:lineRule="auto"/>
        <w:ind w:firstLine="4109" w:firstLineChars="1957"/>
        <w:rPr>
          <w:szCs w:val="21"/>
          <w:u w:val="single"/>
        </w:rPr>
      </w:pPr>
      <w:r>
        <w:rPr>
          <w:szCs w:val="21"/>
        </w:rPr>
        <w:t>身份证号码：</w:t>
      </w:r>
      <w:r>
        <w:rPr>
          <w:szCs w:val="21"/>
          <w:u w:val="single"/>
        </w:rPr>
        <w:t xml:space="preserve">                            </w:t>
      </w:r>
    </w:p>
    <w:p>
      <w:pPr>
        <w:topLinePunct/>
        <w:spacing w:line="360" w:lineRule="auto"/>
        <w:ind w:firstLine="4109" w:firstLineChars="1957"/>
        <w:rPr>
          <w:szCs w:val="21"/>
        </w:rPr>
      </w:pPr>
      <w:r>
        <w:rPr>
          <w:szCs w:val="21"/>
        </w:rPr>
        <w:t>委托代理人：</w:t>
      </w:r>
      <w:r>
        <w:rPr>
          <w:szCs w:val="21"/>
          <w:u w:val="single"/>
        </w:rPr>
        <w:t xml:space="preserve">                      </w:t>
      </w:r>
      <w:r>
        <w:rPr>
          <w:szCs w:val="21"/>
        </w:rPr>
        <w:t>(签字)</w:t>
      </w:r>
    </w:p>
    <w:p>
      <w:pPr>
        <w:topLinePunct/>
        <w:spacing w:line="360" w:lineRule="auto"/>
        <w:ind w:firstLine="4109" w:firstLineChars="1957"/>
        <w:rPr>
          <w:szCs w:val="21"/>
          <w:u w:val="single"/>
        </w:rPr>
      </w:pPr>
      <w:r>
        <w:rPr>
          <w:szCs w:val="21"/>
        </w:rPr>
        <w:t>身份证号码：</w:t>
      </w:r>
      <w:r>
        <w:rPr>
          <w:szCs w:val="21"/>
          <w:u w:val="single"/>
        </w:rPr>
        <w:t xml:space="preserve">                            </w:t>
      </w:r>
    </w:p>
    <w:p>
      <w:pPr>
        <w:topLinePunct/>
        <w:spacing w:line="360" w:lineRule="auto"/>
        <w:ind w:firstLine="4109" w:firstLineChars="1957"/>
        <w:rPr>
          <w:szCs w:val="21"/>
        </w:rPr>
      </w:pPr>
    </w:p>
    <w:p>
      <w:pPr>
        <w:topLinePunct/>
        <w:spacing w:line="360" w:lineRule="auto"/>
        <w:ind w:left="418" w:leftChars="199" w:firstLine="4109" w:firstLineChars="1957"/>
        <w:jc w:val="left"/>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360" w:lineRule="auto"/>
      </w:pPr>
    </w:p>
    <w:p>
      <w:pPr>
        <w:spacing w:line="360" w:lineRule="auto"/>
      </w:pPr>
    </w:p>
    <w:p>
      <w:pPr>
        <w:spacing w:line="360" w:lineRule="auto"/>
      </w:pPr>
    </w:p>
    <w:p>
      <w:pPr>
        <w:spacing w:line="360" w:lineRule="auto"/>
      </w:pPr>
    </w:p>
    <w:p>
      <w:pPr>
        <w:pStyle w:val="2"/>
      </w:pPr>
    </w:p>
    <w:p>
      <w:pPr>
        <w:pStyle w:val="2"/>
      </w:pPr>
    </w:p>
    <w:p>
      <w:pPr>
        <w:pStyle w:val="2"/>
      </w:pPr>
    </w:p>
    <w:p>
      <w:pPr>
        <w:pStyle w:val="2"/>
      </w:pPr>
    </w:p>
    <w:p>
      <w:pPr>
        <w:pStyle w:val="2"/>
      </w:pPr>
    </w:p>
    <w:p>
      <w:pPr>
        <w:pStyle w:val="2"/>
      </w:pPr>
    </w:p>
    <w:p>
      <w:pPr>
        <w:pStyle w:val="2"/>
      </w:pPr>
    </w:p>
    <w:p>
      <w:pPr>
        <w:spacing w:line="360" w:lineRule="auto"/>
      </w:pPr>
    </w:p>
    <w:p>
      <w:pPr>
        <w:pStyle w:val="123"/>
        <w:spacing w:line="360" w:lineRule="auto"/>
        <w:jc w:val="both"/>
        <w:rPr>
          <w:rFonts w:ascii="宋体" w:hAnsi="宋体" w:eastAsia="宋体"/>
          <w:bCs/>
          <w:sz w:val="21"/>
        </w:rPr>
      </w:pPr>
      <w:bookmarkStart w:id="217" w:name="_Toc152042583"/>
      <w:bookmarkStart w:id="218" w:name="_Toc152045794"/>
      <w:bookmarkStart w:id="219" w:name="_Toc144974862"/>
      <w:r>
        <w:rPr>
          <w:rFonts w:hint="eastAsia" w:ascii="宋体" w:hAnsi="宋体" w:eastAsia="宋体"/>
          <w:bCs/>
          <w:sz w:val="21"/>
        </w:rPr>
        <w:t>注：1.</w:t>
      </w:r>
      <w:r>
        <w:rPr>
          <w:rFonts w:hint="eastAsia" w:ascii="宋体" w:hAnsi="宋体" w:eastAsia="宋体"/>
          <w:sz w:val="21"/>
        </w:rPr>
        <w:t>本授权委托书需由</w:t>
      </w:r>
      <w:r>
        <w:rPr>
          <w:rFonts w:hint="eastAsia" w:ascii="宋体" w:hAnsi="宋体" w:eastAsia="宋体"/>
          <w:sz w:val="21"/>
          <w:lang w:eastAsia="zh-CN"/>
        </w:rPr>
        <w:t>报价人</w:t>
      </w:r>
      <w:r>
        <w:rPr>
          <w:rFonts w:hint="eastAsia" w:ascii="宋体" w:hAnsi="宋体" w:eastAsia="宋体"/>
          <w:sz w:val="21"/>
        </w:rPr>
        <w:t>加盖单位公章并由其法定代表人(单位负责人)和委托代理人签字。</w:t>
      </w:r>
    </w:p>
    <w:p>
      <w:pPr>
        <w:pStyle w:val="123"/>
        <w:spacing w:line="360" w:lineRule="auto"/>
        <w:jc w:val="both"/>
        <w:rPr>
          <w:rFonts w:ascii="宋体" w:hAnsi="宋体" w:eastAsia="宋体"/>
          <w:sz w:val="21"/>
        </w:rPr>
      </w:pPr>
      <w:r>
        <w:rPr>
          <w:rFonts w:hint="eastAsia" w:ascii="宋体" w:hAnsi="宋体" w:eastAsia="宋体"/>
          <w:sz w:val="21"/>
        </w:rPr>
        <w:t>2.法定代表人和委托代理人必须在授权书上亲笔签名，不得使用印章、签名章或其他电子制版签名。</w:t>
      </w:r>
    </w:p>
    <w:p>
      <w:pPr>
        <w:pStyle w:val="123"/>
        <w:spacing w:line="360" w:lineRule="auto"/>
        <w:jc w:val="both"/>
        <w:rPr>
          <w:rFonts w:ascii="宋体" w:hAnsi="宋体" w:eastAsia="宋体"/>
          <w:bCs/>
          <w:sz w:val="21"/>
          <w:szCs w:val="21"/>
        </w:rPr>
      </w:pPr>
      <w:r>
        <w:rPr>
          <w:rFonts w:hint="eastAsia" w:ascii="宋体" w:hAnsi="宋体" w:eastAsia="宋体"/>
          <w:sz w:val="21"/>
        </w:rPr>
        <w:t>3.如果由报价人的法定代表人亲自签署响应文件，则不需提交授权委托书。</w:t>
      </w:r>
    </w:p>
    <w:p>
      <w:pPr>
        <w:spacing w:line="360" w:lineRule="auto"/>
        <w:jc w:val="center"/>
        <w:rPr>
          <w:b/>
          <w:sz w:val="28"/>
          <w:szCs w:val="28"/>
        </w:rPr>
      </w:pPr>
      <w:r>
        <w:br w:type="page"/>
      </w:r>
      <w:bookmarkEnd w:id="217"/>
      <w:bookmarkEnd w:id="218"/>
      <w:bookmarkEnd w:id="219"/>
      <w:bookmarkStart w:id="220" w:name="_Toc24242_WPSOffice_Level1"/>
      <w:bookmarkStart w:id="221" w:name="_Toc27682_WPSOffice_Level1"/>
      <w:bookmarkStart w:id="222" w:name="_Toc8567_WPSOffice_Level1"/>
      <w:bookmarkStart w:id="223" w:name="_Toc528058037"/>
      <w:r>
        <w:rPr>
          <w:rFonts w:hint="eastAsia"/>
          <w:b/>
          <w:sz w:val="28"/>
          <w:szCs w:val="28"/>
        </w:rPr>
        <w:t>三、施工方案</w:t>
      </w:r>
      <w:bookmarkEnd w:id="220"/>
      <w:bookmarkEnd w:id="221"/>
      <w:bookmarkEnd w:id="222"/>
      <w:bookmarkEnd w:id="223"/>
    </w:p>
    <w:p/>
    <w:p>
      <w:pPr>
        <w:spacing w:line="360" w:lineRule="auto"/>
      </w:pPr>
      <w:bookmarkStart w:id="224" w:name="_Toc4355_WPSOffice_Level1"/>
      <w:bookmarkStart w:id="225" w:name="_Toc14522_WPSOffice_Level1"/>
      <w:bookmarkStart w:id="226" w:name="_Toc30105_WPSOffice_Level1"/>
      <w:r>
        <w:rPr>
          <w:rFonts w:hint="eastAsia"/>
        </w:rPr>
        <w:t>一、报价人应按以下要点编制</w:t>
      </w:r>
      <w:r>
        <w:t>(</w:t>
      </w:r>
      <w:r>
        <w:rPr>
          <w:rFonts w:hint="eastAsia"/>
        </w:rPr>
        <w:t>文字宜精炼、内容具有针对性</w:t>
      </w:r>
      <w:r>
        <w:t>)</w:t>
      </w:r>
      <w:r>
        <w:rPr>
          <w:rFonts w:hint="eastAsia"/>
        </w:rPr>
        <w:t>：</w:t>
      </w:r>
      <w:bookmarkEnd w:id="224"/>
      <w:bookmarkEnd w:id="225"/>
      <w:bookmarkEnd w:id="226"/>
    </w:p>
    <w:p>
      <w:pPr>
        <w:spacing w:line="360" w:lineRule="auto"/>
      </w:pPr>
      <w:r>
        <w:t>(1)</w:t>
      </w:r>
      <w:r>
        <w:rPr>
          <w:rFonts w:hint="eastAsia"/>
        </w:rPr>
        <w:t>项目总体情况；</w:t>
      </w:r>
    </w:p>
    <w:p>
      <w:pPr>
        <w:spacing w:line="360" w:lineRule="auto"/>
      </w:pPr>
      <w:r>
        <w:t>(2)</w:t>
      </w:r>
      <w:r>
        <w:rPr>
          <w:rFonts w:hint="eastAsia"/>
        </w:rPr>
        <w:t>施工方案；</w:t>
      </w:r>
    </w:p>
    <w:p>
      <w:pPr>
        <w:spacing w:line="360" w:lineRule="auto"/>
      </w:pPr>
      <w:r>
        <w:t>(3)</w:t>
      </w:r>
      <w:r>
        <w:rPr>
          <w:rFonts w:hint="eastAsia"/>
        </w:rPr>
        <w:t>安全、文明等保证措施。</w:t>
      </w:r>
    </w:p>
    <w:p>
      <w:pPr>
        <w:spacing w:line="360" w:lineRule="auto"/>
      </w:pPr>
      <w:r>
        <w:br w:type="page"/>
      </w:r>
    </w:p>
    <w:p>
      <w:pPr>
        <w:spacing w:line="360" w:lineRule="auto"/>
        <w:jc w:val="center"/>
        <w:rPr>
          <w:b/>
          <w:sz w:val="28"/>
          <w:szCs w:val="28"/>
        </w:rPr>
      </w:pPr>
      <w:bookmarkStart w:id="227" w:name="_Toc27480_WPSOffice_Level1"/>
      <w:bookmarkStart w:id="228" w:name="_Toc528058038"/>
      <w:bookmarkStart w:id="229" w:name="_Toc23892_WPSOffice_Level1"/>
      <w:bookmarkStart w:id="230" w:name="_Toc19155_WPSOffice_Level1"/>
      <w:r>
        <w:rPr>
          <w:rFonts w:hint="eastAsia"/>
          <w:b/>
          <w:sz w:val="28"/>
          <w:szCs w:val="28"/>
        </w:rPr>
        <w:t>四、资格审查资料</w:t>
      </w:r>
      <w:bookmarkEnd w:id="227"/>
      <w:bookmarkEnd w:id="228"/>
      <w:bookmarkEnd w:id="229"/>
      <w:bookmarkEnd w:id="230"/>
    </w:p>
    <w:p>
      <w:pPr>
        <w:pStyle w:val="123"/>
      </w:pPr>
      <w:r>
        <w:rPr>
          <w:rFonts w:hint="eastAsia"/>
        </w:rPr>
        <w:t>(一)报价人基本情况表</w:t>
      </w:r>
    </w:p>
    <w:p/>
    <w:tbl>
      <w:tblPr>
        <w:tblStyle w:val="52"/>
        <w:tblW w:w="911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21"/>
        <w:gridCol w:w="779"/>
        <w:gridCol w:w="1050"/>
        <w:gridCol w:w="170"/>
        <w:gridCol w:w="1417"/>
        <w:gridCol w:w="423"/>
        <w:gridCol w:w="711"/>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980" w:type="dxa"/>
            <w:tcBorders>
              <w:top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报价人名称</w:t>
            </w:r>
          </w:p>
        </w:tc>
        <w:tc>
          <w:tcPr>
            <w:tcW w:w="7131" w:type="dxa"/>
            <w:gridSpan w:val="8"/>
            <w:tcBorders>
              <w:top w:val="single" w:color="auto" w:sz="4" w:space="0"/>
              <w:left w:val="single" w:color="auto" w:sz="4" w:space="0"/>
              <w:bottom w:val="single" w:color="auto" w:sz="4" w:space="0"/>
            </w:tcBorders>
            <w:vAlign w:val="center"/>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980" w:type="dxa"/>
            <w:tcBorders>
              <w:top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注册地址</w:t>
            </w:r>
          </w:p>
        </w:tc>
        <w:tc>
          <w:tcPr>
            <w:tcW w:w="3020" w:type="dxa"/>
            <w:gridSpan w:val="4"/>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邮政编码</w:t>
            </w:r>
          </w:p>
        </w:tc>
        <w:tc>
          <w:tcPr>
            <w:tcW w:w="2694" w:type="dxa"/>
            <w:gridSpan w:val="3"/>
            <w:tcBorders>
              <w:top w:val="single" w:color="auto" w:sz="4" w:space="0"/>
              <w:left w:val="single" w:color="auto" w:sz="4" w:space="0"/>
              <w:bottom w:val="single" w:color="auto" w:sz="4" w:space="0"/>
            </w:tcBorders>
            <w:vAlign w:val="center"/>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980" w:type="dxa"/>
            <w:vMerge w:val="restart"/>
            <w:tcBorders>
              <w:top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联系方式</w:t>
            </w:r>
          </w:p>
        </w:tc>
        <w:tc>
          <w:tcPr>
            <w:tcW w:w="1021" w:type="dxa"/>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联系人</w:t>
            </w:r>
          </w:p>
        </w:tc>
        <w:tc>
          <w:tcPr>
            <w:tcW w:w="1999" w:type="dxa"/>
            <w:gridSpan w:val="3"/>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电 话</w:t>
            </w:r>
          </w:p>
        </w:tc>
        <w:tc>
          <w:tcPr>
            <w:tcW w:w="2694" w:type="dxa"/>
            <w:gridSpan w:val="3"/>
            <w:tcBorders>
              <w:top w:val="single" w:color="auto" w:sz="4" w:space="0"/>
              <w:left w:val="single" w:color="auto" w:sz="4" w:space="0"/>
              <w:bottom w:val="single" w:color="auto" w:sz="4" w:space="0"/>
            </w:tcBorders>
            <w:vAlign w:val="center"/>
          </w:tcPr>
          <w:p>
            <w:pPr>
              <w:pStyle w:val="122"/>
              <w:rPr>
                <w:rFonts w:ascii="宋体" w:hAnsi="宋体" w:cs="宋体"/>
                <w:szCs w:val="21"/>
              </w:rPr>
            </w:pPr>
            <w:r>
              <w:rPr>
                <w:rFonts w:hint="eastAsia" w:ascii="宋体" w:hAnsi="宋体" w:cs="宋体"/>
                <w:szCs w:val="21"/>
              </w:rPr>
              <w:t>(须工商注册地固定电话)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980" w:type="dxa"/>
            <w:vMerge w:val="continue"/>
            <w:tcBorders>
              <w:top w:val="single" w:color="auto" w:sz="4" w:space="0"/>
              <w:bottom w:val="single" w:color="auto" w:sz="4" w:space="0"/>
              <w:right w:val="single" w:color="auto" w:sz="4" w:space="0"/>
            </w:tcBorders>
            <w:vAlign w:val="center"/>
          </w:tcPr>
          <w:p>
            <w:pPr>
              <w:pStyle w:val="122"/>
              <w:rPr>
                <w:rFonts w:ascii="宋体" w:hAnsi="宋体" w:cs="宋体"/>
                <w:szCs w:val="21"/>
              </w:rPr>
            </w:pPr>
          </w:p>
        </w:tc>
        <w:tc>
          <w:tcPr>
            <w:tcW w:w="1021" w:type="dxa"/>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传  真</w:t>
            </w:r>
          </w:p>
        </w:tc>
        <w:tc>
          <w:tcPr>
            <w:tcW w:w="1999" w:type="dxa"/>
            <w:gridSpan w:val="3"/>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(须工商注册地传真)</w:t>
            </w:r>
          </w:p>
        </w:tc>
        <w:tc>
          <w:tcPr>
            <w:tcW w:w="1417" w:type="dxa"/>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电子邮件</w:t>
            </w:r>
          </w:p>
        </w:tc>
        <w:tc>
          <w:tcPr>
            <w:tcW w:w="2694" w:type="dxa"/>
            <w:gridSpan w:val="3"/>
            <w:tcBorders>
              <w:top w:val="single" w:color="auto" w:sz="4" w:space="0"/>
              <w:left w:val="single" w:color="auto" w:sz="4" w:space="0"/>
              <w:bottom w:val="single" w:color="auto" w:sz="4" w:space="0"/>
            </w:tcBorders>
            <w:vAlign w:val="center"/>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980" w:type="dxa"/>
            <w:tcBorders>
              <w:top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法定代表人</w:t>
            </w:r>
          </w:p>
        </w:tc>
        <w:tc>
          <w:tcPr>
            <w:tcW w:w="1021" w:type="dxa"/>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姓  名</w:t>
            </w:r>
          </w:p>
        </w:tc>
        <w:tc>
          <w:tcPr>
            <w:tcW w:w="779" w:type="dxa"/>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1220" w:type="dxa"/>
            <w:gridSpan w:val="2"/>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技术职称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电话</w:t>
            </w:r>
          </w:p>
        </w:tc>
        <w:tc>
          <w:tcPr>
            <w:tcW w:w="1560" w:type="dxa"/>
            <w:tcBorders>
              <w:top w:val="single" w:color="auto" w:sz="4" w:space="0"/>
              <w:left w:val="single" w:color="auto" w:sz="4" w:space="0"/>
              <w:bottom w:val="single" w:color="auto" w:sz="4" w:space="0"/>
            </w:tcBorders>
            <w:vAlign w:val="center"/>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980" w:type="dxa"/>
            <w:tcBorders>
              <w:top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技术负责人</w:t>
            </w:r>
          </w:p>
        </w:tc>
        <w:tc>
          <w:tcPr>
            <w:tcW w:w="1021" w:type="dxa"/>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姓  名</w:t>
            </w:r>
          </w:p>
        </w:tc>
        <w:tc>
          <w:tcPr>
            <w:tcW w:w="779" w:type="dxa"/>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1220" w:type="dxa"/>
            <w:gridSpan w:val="2"/>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技术职称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电话</w:t>
            </w:r>
          </w:p>
        </w:tc>
        <w:tc>
          <w:tcPr>
            <w:tcW w:w="1560" w:type="dxa"/>
            <w:tcBorders>
              <w:top w:val="single" w:color="auto" w:sz="4" w:space="0"/>
              <w:left w:val="single" w:color="auto" w:sz="4" w:space="0"/>
              <w:bottom w:val="single" w:color="auto" w:sz="4" w:space="0"/>
            </w:tcBorders>
            <w:vAlign w:val="center"/>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980" w:type="dxa"/>
            <w:tcBorders>
              <w:top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企业性质</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1220" w:type="dxa"/>
            <w:gridSpan w:val="2"/>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股东出资比例</w:t>
            </w:r>
          </w:p>
        </w:tc>
        <w:tc>
          <w:tcPr>
            <w:tcW w:w="1417" w:type="dxa"/>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上级主管单位</w:t>
            </w:r>
          </w:p>
        </w:tc>
        <w:tc>
          <w:tcPr>
            <w:tcW w:w="1560" w:type="dxa"/>
            <w:tcBorders>
              <w:top w:val="single" w:color="auto" w:sz="4" w:space="0"/>
              <w:left w:val="single" w:color="auto" w:sz="4" w:space="0"/>
              <w:bottom w:val="single" w:color="auto" w:sz="4" w:space="0"/>
            </w:tcBorders>
            <w:vAlign w:val="center"/>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980" w:type="dxa"/>
            <w:tcBorders>
              <w:top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成立时间</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5331" w:type="dxa"/>
            <w:gridSpan w:val="6"/>
            <w:tcBorders>
              <w:top w:val="single" w:color="auto" w:sz="4" w:space="0"/>
              <w:left w:val="single" w:color="auto" w:sz="4" w:space="0"/>
              <w:bottom w:val="single" w:color="auto" w:sz="4" w:space="0"/>
            </w:tcBorders>
            <w:vAlign w:val="center"/>
          </w:tcPr>
          <w:p>
            <w:pPr>
              <w:pStyle w:val="122"/>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980" w:type="dxa"/>
            <w:tcBorders>
              <w:top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企业资质等级</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其中</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项目经理</w:t>
            </w:r>
          </w:p>
        </w:tc>
        <w:tc>
          <w:tcPr>
            <w:tcW w:w="2271" w:type="dxa"/>
            <w:gridSpan w:val="2"/>
            <w:tcBorders>
              <w:top w:val="single" w:color="auto" w:sz="4" w:space="0"/>
              <w:left w:val="single" w:color="auto" w:sz="4" w:space="0"/>
              <w:bottom w:val="single" w:color="auto" w:sz="4" w:space="0"/>
            </w:tcBorders>
            <w:vAlign w:val="center"/>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980" w:type="dxa"/>
            <w:tcBorders>
              <w:top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营业执照号</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高级职称人员</w:t>
            </w:r>
          </w:p>
        </w:tc>
        <w:tc>
          <w:tcPr>
            <w:tcW w:w="2271" w:type="dxa"/>
            <w:gridSpan w:val="2"/>
            <w:tcBorders>
              <w:top w:val="single" w:color="auto" w:sz="4" w:space="0"/>
              <w:left w:val="single" w:color="auto" w:sz="4" w:space="0"/>
              <w:bottom w:val="single" w:color="auto" w:sz="4" w:space="0"/>
            </w:tcBorders>
            <w:vAlign w:val="center"/>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980" w:type="dxa"/>
            <w:tcBorders>
              <w:top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注册资金</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中级职称人员</w:t>
            </w:r>
          </w:p>
        </w:tc>
        <w:tc>
          <w:tcPr>
            <w:tcW w:w="2271" w:type="dxa"/>
            <w:gridSpan w:val="2"/>
            <w:tcBorders>
              <w:top w:val="single" w:color="auto" w:sz="4" w:space="0"/>
              <w:left w:val="single" w:color="auto" w:sz="4" w:space="0"/>
              <w:bottom w:val="single" w:color="auto" w:sz="4" w:space="0"/>
            </w:tcBorders>
            <w:vAlign w:val="center"/>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980" w:type="dxa"/>
            <w:tcBorders>
              <w:top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基本账户开户银行</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初级职称人员</w:t>
            </w:r>
          </w:p>
        </w:tc>
        <w:tc>
          <w:tcPr>
            <w:tcW w:w="2271" w:type="dxa"/>
            <w:gridSpan w:val="2"/>
            <w:tcBorders>
              <w:top w:val="single" w:color="auto" w:sz="4" w:space="0"/>
              <w:left w:val="single" w:color="auto" w:sz="4" w:space="0"/>
              <w:bottom w:val="single" w:color="auto" w:sz="4" w:space="0"/>
            </w:tcBorders>
            <w:vAlign w:val="center"/>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980" w:type="dxa"/>
            <w:tcBorders>
              <w:top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基本账户账号</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技工</w:t>
            </w:r>
          </w:p>
        </w:tc>
        <w:tc>
          <w:tcPr>
            <w:tcW w:w="2271" w:type="dxa"/>
            <w:gridSpan w:val="2"/>
            <w:tcBorders>
              <w:top w:val="single" w:color="auto" w:sz="4" w:space="0"/>
              <w:left w:val="single" w:color="auto" w:sz="4" w:space="0"/>
              <w:bottom w:val="single" w:color="auto" w:sz="4" w:space="0"/>
            </w:tcBorders>
            <w:vAlign w:val="center"/>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8" w:hRule="exact"/>
          <w:jc w:val="center"/>
        </w:trPr>
        <w:tc>
          <w:tcPr>
            <w:tcW w:w="1980" w:type="dxa"/>
            <w:tcBorders>
              <w:top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经营范围</w:t>
            </w:r>
          </w:p>
        </w:tc>
        <w:tc>
          <w:tcPr>
            <w:tcW w:w="7131" w:type="dxa"/>
            <w:gridSpan w:val="8"/>
            <w:tcBorders>
              <w:top w:val="single" w:color="auto" w:sz="4" w:space="0"/>
              <w:left w:val="single" w:color="auto" w:sz="4" w:space="0"/>
            </w:tcBorders>
            <w:vAlign w:val="center"/>
          </w:tcPr>
          <w:p>
            <w:pPr>
              <w:pStyle w:val="122"/>
              <w:rPr>
                <w:rFonts w:ascii="宋体" w:hAnsi="宋体" w:cs="宋体"/>
                <w:szCs w:val="21"/>
              </w:rPr>
            </w:pPr>
          </w:p>
          <w:p>
            <w:pPr>
              <w:pStyle w:val="122"/>
              <w:rPr>
                <w:rFonts w:ascii="宋体" w:hAnsi="宋体" w:cs="宋体"/>
                <w:szCs w:val="21"/>
              </w:rPr>
            </w:pPr>
          </w:p>
          <w:p>
            <w:pPr>
              <w:pStyle w:val="122"/>
              <w:rPr>
                <w:rFonts w:ascii="宋体" w:hAnsi="宋体" w:cs="宋体"/>
                <w:szCs w:val="21"/>
              </w:rPr>
            </w:pPr>
          </w:p>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33" w:hRule="exact"/>
          <w:jc w:val="center"/>
        </w:trPr>
        <w:tc>
          <w:tcPr>
            <w:tcW w:w="1980" w:type="dxa"/>
            <w:tcBorders>
              <w:top w:val="single" w:color="auto" w:sz="4" w:space="0"/>
              <w:bottom w:val="single" w:color="auto" w:sz="4" w:space="0"/>
              <w:right w:val="single" w:color="auto" w:sz="4" w:space="0"/>
            </w:tcBorders>
            <w:vAlign w:val="center"/>
          </w:tcPr>
          <w:p>
            <w:pPr>
              <w:pStyle w:val="122"/>
              <w:rPr>
                <w:rFonts w:ascii="宋体" w:hAnsi="宋体" w:cs="宋体"/>
                <w:szCs w:val="21"/>
              </w:rPr>
            </w:pPr>
            <w:r>
              <w:rPr>
                <w:rFonts w:hint="eastAsia" w:ascii="宋体" w:hAnsi="宋体" w:cs="宋体"/>
                <w:szCs w:val="21"/>
              </w:rPr>
              <w:t>备注</w:t>
            </w:r>
          </w:p>
        </w:tc>
        <w:tc>
          <w:tcPr>
            <w:tcW w:w="7131" w:type="dxa"/>
            <w:gridSpan w:val="8"/>
            <w:tcBorders>
              <w:top w:val="single" w:color="auto" w:sz="4" w:space="0"/>
              <w:left w:val="single" w:color="auto" w:sz="4" w:space="0"/>
              <w:bottom w:val="single" w:color="auto" w:sz="4" w:space="0"/>
            </w:tcBorders>
            <w:vAlign w:val="center"/>
          </w:tcPr>
          <w:p>
            <w:pPr>
              <w:pStyle w:val="122"/>
              <w:rPr>
                <w:rFonts w:ascii="宋体" w:hAnsi="宋体" w:cs="宋体"/>
                <w:szCs w:val="21"/>
              </w:rPr>
            </w:pPr>
          </w:p>
          <w:p>
            <w:pPr>
              <w:pStyle w:val="122"/>
              <w:rPr>
                <w:rFonts w:ascii="宋体" w:hAnsi="宋体" w:cs="宋体"/>
                <w:szCs w:val="21"/>
              </w:rPr>
            </w:pPr>
          </w:p>
        </w:tc>
      </w:tr>
    </w:tbl>
    <w:p>
      <w:pPr>
        <w:spacing w:line="360" w:lineRule="auto"/>
        <w:rPr>
          <w:rFonts w:ascii="宋体" w:hAnsi="宋体" w:cs="宋体"/>
          <w:szCs w:val="21"/>
        </w:rPr>
      </w:pPr>
    </w:p>
    <w:p>
      <w:pPr>
        <w:spacing w:line="360" w:lineRule="auto"/>
      </w:pPr>
      <w:r>
        <w:rPr>
          <w:rFonts w:hint="eastAsia" w:ascii="宋体" w:hAnsi="宋体" w:cs="宋体"/>
          <w:szCs w:val="21"/>
        </w:rPr>
        <w:t>注：在本表后应附：企业营业执照副本复印件、基本账户开户许可证复印件、质量管理体系认证的复印件、资质证书、安全生产许可证材料等，并均应加盖公司印章。</w:t>
      </w:r>
    </w:p>
    <w:p>
      <w:pPr>
        <w:spacing w:line="360" w:lineRule="auto"/>
        <w:sectPr>
          <w:footerReference r:id="rId13" w:type="default"/>
          <w:footnotePr>
            <w:numFmt w:val="decimalEnclosedCircleChinese"/>
            <w:numRestart w:val="eachPage"/>
          </w:footnotePr>
          <w:pgSz w:w="11906" w:h="16838"/>
          <w:pgMar w:top="1417" w:right="1417" w:bottom="1417" w:left="1417" w:header="851" w:footer="850" w:gutter="0"/>
          <w:pgNumType w:fmt="numberInDash"/>
          <w:cols w:space="720" w:num="1"/>
          <w:docGrid w:linePitch="312" w:charSpace="0"/>
        </w:sectPr>
      </w:pPr>
    </w:p>
    <w:p>
      <w:pPr>
        <w:pStyle w:val="123"/>
      </w:pPr>
      <w:r>
        <w:rPr>
          <w:rFonts w:hint="eastAsia"/>
        </w:rPr>
        <w:t>(二)近年完成的项目情况表</w:t>
      </w:r>
    </w:p>
    <w:tbl>
      <w:tblPr>
        <w:tblStyle w:val="52"/>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项目名称</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项目所在地</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发包人名称</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发包人地址</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发包人电话</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合同价格</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开工日期</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交工日期</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承担的工作</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工程质量</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项目负责人</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技术负责人</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业主单位名称及电话</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业主负责人及电话</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项目描述</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获奖情况</w:t>
            </w:r>
          </w:p>
        </w:tc>
        <w:tc>
          <w:tcPr>
            <w:tcW w:w="6773" w:type="dxa"/>
          </w:tcPr>
          <w:p>
            <w:pPr>
              <w:pStyle w:val="12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57" w:type="dxa"/>
            <w:vAlign w:val="center"/>
          </w:tcPr>
          <w:p>
            <w:pPr>
              <w:pStyle w:val="122"/>
              <w:rPr>
                <w:rFonts w:ascii="宋体" w:hAnsi="宋体" w:cs="宋体"/>
                <w:szCs w:val="21"/>
              </w:rPr>
            </w:pPr>
            <w:r>
              <w:rPr>
                <w:rFonts w:hint="eastAsia" w:ascii="宋体" w:hAnsi="宋体" w:cs="宋体"/>
                <w:szCs w:val="21"/>
              </w:rPr>
              <w:t>备注</w:t>
            </w:r>
          </w:p>
        </w:tc>
        <w:tc>
          <w:tcPr>
            <w:tcW w:w="6773" w:type="dxa"/>
          </w:tcPr>
          <w:p>
            <w:pPr>
              <w:pStyle w:val="122"/>
              <w:rPr>
                <w:rFonts w:ascii="宋体" w:hAnsi="宋体" w:cs="宋体"/>
                <w:szCs w:val="21"/>
              </w:rPr>
            </w:pPr>
          </w:p>
        </w:tc>
      </w:tr>
    </w:tbl>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注：</w:t>
      </w:r>
    </w:p>
    <w:p>
      <w:pPr>
        <w:spacing w:line="360" w:lineRule="auto"/>
        <w:rPr>
          <w:rFonts w:ascii="宋体" w:hAnsi="宋体" w:cs="宋体"/>
          <w:szCs w:val="21"/>
        </w:rPr>
      </w:pPr>
      <w:r>
        <w:rPr>
          <w:rFonts w:hint="eastAsia" w:ascii="宋体" w:hAnsi="宋体" w:cs="宋体"/>
          <w:szCs w:val="21"/>
        </w:rPr>
        <w:t>1.每张表只填写一个项目，并表明序号；</w:t>
      </w:r>
    </w:p>
    <w:p>
      <w:pPr>
        <w:spacing w:line="360" w:lineRule="auto"/>
        <w:rPr>
          <w:rFonts w:ascii="宋体" w:hAnsi="宋体" w:cs="宋体"/>
          <w:szCs w:val="21"/>
        </w:rPr>
      </w:pPr>
      <w:r>
        <w:rPr>
          <w:rFonts w:hint="eastAsia" w:ascii="宋体" w:hAnsi="宋体" w:cs="宋体"/>
          <w:szCs w:val="21"/>
        </w:rPr>
        <w:t>2.本表后须</w:t>
      </w:r>
      <w:r>
        <w:rPr>
          <w:rFonts w:hint="eastAsia" w:ascii="宋体" w:hAnsi="宋体" w:cs="宋体"/>
          <w:b/>
          <w:bCs/>
          <w:szCs w:val="21"/>
        </w:rPr>
        <w:t>近5年(2014年1月至今，以交工时间为准)</w:t>
      </w:r>
      <w:r>
        <w:rPr>
          <w:rFonts w:hint="eastAsia" w:ascii="宋体" w:hAnsi="宋体" w:cs="宋体"/>
          <w:szCs w:val="21"/>
        </w:rPr>
        <w:t>的合同业绩的证明材料包括以下内容：</w:t>
      </w:r>
    </w:p>
    <w:p>
      <w:pPr>
        <w:spacing w:line="360" w:lineRule="auto"/>
        <w:rPr>
          <w:rFonts w:ascii="宋体" w:hAnsi="宋体" w:cs="宋体"/>
          <w:szCs w:val="21"/>
        </w:rPr>
      </w:pPr>
      <w:r>
        <w:rPr>
          <w:rFonts w:hint="eastAsia" w:ascii="宋体" w:hAnsi="宋体" w:cs="宋体"/>
          <w:szCs w:val="21"/>
        </w:rPr>
        <w:t>(1)合同协议书(复印件)；</w:t>
      </w:r>
    </w:p>
    <w:p>
      <w:pPr>
        <w:spacing w:line="360" w:lineRule="auto"/>
        <w:rPr>
          <w:rFonts w:ascii="宋体" w:hAnsi="宋体" w:cs="宋体"/>
          <w:szCs w:val="21"/>
        </w:rPr>
      </w:pPr>
      <w:r>
        <w:rPr>
          <w:rFonts w:hint="eastAsia" w:ascii="宋体" w:hAnsi="宋体" w:cs="宋体"/>
          <w:szCs w:val="21"/>
        </w:rPr>
        <w:t>(2)完工证明(复印件)或交工证书(复印件)。</w:t>
      </w:r>
    </w:p>
    <w:p>
      <w:pPr>
        <w:spacing w:line="360" w:lineRule="auto"/>
        <w:rPr>
          <w:rFonts w:ascii="宋体" w:hAnsi="宋体" w:cs="宋体"/>
          <w:szCs w:val="21"/>
        </w:rPr>
      </w:pPr>
      <w:r>
        <w:rPr>
          <w:rFonts w:hint="eastAsia" w:ascii="宋体" w:hAnsi="宋体" w:cs="宋体"/>
          <w:szCs w:val="21"/>
        </w:rPr>
        <w:t>以上两项资料缺一不可，否则该业绩不予认定。</w:t>
      </w:r>
    </w:p>
    <w:p>
      <w:pPr>
        <w:pStyle w:val="2"/>
        <w:spacing w:line="360" w:lineRule="auto"/>
      </w:pPr>
      <w:r>
        <w:br w:type="page"/>
      </w:r>
    </w:p>
    <w:p>
      <w:pPr>
        <w:spacing w:line="360" w:lineRule="auto"/>
        <w:jc w:val="center"/>
        <w:rPr>
          <w:b/>
          <w:sz w:val="28"/>
          <w:szCs w:val="28"/>
        </w:rPr>
      </w:pPr>
      <w:bookmarkStart w:id="231" w:name="_Toc528058039"/>
      <w:bookmarkStart w:id="232" w:name="_Toc26085_WPSOffice_Level1"/>
      <w:bookmarkStart w:id="233" w:name="_Toc12795_WPSOffice_Level1"/>
      <w:bookmarkStart w:id="234" w:name="_Toc20833_WPSOffice_Level1"/>
      <w:r>
        <w:rPr>
          <w:rFonts w:hint="eastAsia"/>
          <w:b/>
          <w:sz w:val="28"/>
          <w:szCs w:val="28"/>
        </w:rPr>
        <w:t>五、</w:t>
      </w:r>
      <w:bookmarkEnd w:id="231"/>
      <w:r>
        <w:rPr>
          <w:rFonts w:hint="eastAsia"/>
          <w:b/>
          <w:sz w:val="28"/>
          <w:szCs w:val="28"/>
        </w:rPr>
        <w:t>已标价的工程量清单</w:t>
      </w:r>
      <w:bookmarkEnd w:id="232"/>
      <w:bookmarkEnd w:id="233"/>
      <w:bookmarkEnd w:id="234"/>
    </w:p>
    <w:p>
      <w:pPr>
        <w:spacing w:line="360" w:lineRule="auto"/>
        <w:ind w:firstLine="480"/>
        <w:rPr>
          <w:rFonts w:ascii="宋体" w:hAnsi="宋体"/>
          <w:kern w:val="0"/>
          <w:sz w:val="24"/>
        </w:rPr>
      </w:pPr>
    </w:p>
    <w:p>
      <w:pPr>
        <w:spacing w:line="360" w:lineRule="auto"/>
        <w:ind w:firstLine="480"/>
        <w:rPr>
          <w:rFonts w:ascii="宋体" w:hAnsi="宋体"/>
          <w:color w:val="FF0000"/>
          <w:kern w:val="0"/>
          <w:sz w:val="24"/>
        </w:rPr>
      </w:pPr>
      <w:r>
        <w:rPr>
          <w:rFonts w:hint="eastAsia" w:ascii="宋体" w:hAnsi="宋体"/>
          <w:color w:val="FF0000"/>
          <w:kern w:val="0"/>
          <w:sz w:val="24"/>
        </w:rPr>
        <w:t>报价人应该按照第五章“工程量清单”的要求逐项填报工程量清单，包括工程量清单说明、工程量清单各项表格</w:t>
      </w:r>
    </w:p>
    <w:bookmarkEnd w:id="165"/>
    <w:bookmarkEnd w:id="166"/>
    <w:bookmarkEnd w:id="167"/>
    <w:p>
      <w:pPr>
        <w:pStyle w:val="4"/>
        <w:rPr>
          <w:rFonts w:ascii="宋体" w:hAnsi="宋体" w:cs="宋体"/>
          <w:szCs w:val="21"/>
          <w:u w:val="single"/>
        </w:rPr>
      </w:pPr>
      <w:bookmarkStart w:id="235" w:name="_Toc2298"/>
      <w:bookmarkEnd w:id="235"/>
      <w:bookmarkStart w:id="236" w:name="_Toc24786"/>
      <w:bookmarkEnd w:id="236"/>
      <w:bookmarkStart w:id="237" w:name="_Toc12837"/>
      <w:bookmarkEnd w:id="237"/>
      <w:bookmarkStart w:id="238" w:name="_Toc16095"/>
      <w:bookmarkEnd w:id="238"/>
      <w:bookmarkStart w:id="239" w:name="_Toc9203"/>
      <w:bookmarkEnd w:id="239"/>
      <w:bookmarkStart w:id="240" w:name="_Toc3894"/>
      <w:bookmarkEnd w:id="240"/>
    </w:p>
    <w:sectPr>
      <w:headerReference r:id="rId14" w:type="default"/>
      <w:footnotePr>
        <w:numFmt w:val="decimalEnclosedCircleChinese"/>
        <w:numRestart w:val="eachPage"/>
      </w:footnotePr>
      <w:pgSz w:w="11906" w:h="16838"/>
      <w:pgMar w:top="1417" w:right="1417" w:bottom="1417" w:left="1417" w:header="720" w:footer="720"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文鼎CS书宋二">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Times New Roman Bold">
    <w:altName w:val="Times New Roman"/>
    <w:panose1 w:val="0202080307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文鼎大标宋简">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7"/>
      </w:rPr>
    </w:pPr>
    <w:r>
      <w:fldChar w:fldCharType="begin"/>
    </w:r>
    <w:r>
      <w:rPr>
        <w:rStyle w:val="57"/>
      </w:rPr>
      <w:instrText xml:space="preserve">PAGE  </w:instrText>
    </w:r>
    <w:r>
      <w:fldChar w:fldCharType="end"/>
    </w: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7"/>
      </w:rPr>
    </w:pPr>
    <w:r>
      <w:fldChar w:fldCharType="begin"/>
    </w:r>
    <w:r>
      <w:rPr>
        <w:rStyle w:val="57"/>
      </w:rPr>
      <w:instrText xml:space="preserve">PAGE  </w:instrText>
    </w:r>
    <w:r>
      <w:fldChar w:fldCharType="separate"/>
    </w:r>
    <w:r>
      <w:rPr>
        <w:rStyle w:val="57"/>
      </w:rPr>
      <w:t>54</w: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w:pict>
        <v:shape id="_x0000_s1034" o:spid="_x0000_s1034"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6fWjq8BAABL&#10;AwAADgAAAAAAAAABACAAAAAeAQAAZHJzL2Uyb0RvYy54bWxQSwUGAAAAAAYABgBZAQAAPwUAAAAA&#10;">
          <v:path/>
          <v:fill on="f" focussize="0,0"/>
          <v:stroke on="f" joinstyle="miter"/>
          <v:imagedata o:title=""/>
          <o:lock v:ext="edit"/>
          <v:textbox inset="0mm,0mm,0mm,0mm" style="mso-fit-shape-to-text:t;">
            <w:txbxContent>
              <w:p>
                <w:pPr>
                  <w:pStyle w:val="34"/>
                </w:pPr>
                <w:r>
                  <w:fldChar w:fldCharType="begin"/>
                </w:r>
                <w:r>
                  <w:instrText xml:space="preserve"> PAGE  \* MERGEFORMAT </w:instrText>
                </w:r>
                <w:r>
                  <w:fldChar w:fldCharType="separate"/>
                </w:r>
                <w:r>
                  <w:t>24</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w:pict>
        <v:shape id="_x0000_s1032" o:spid="_x0000_s103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r>
      <w:pict>
        <v:shape id="_x0000_s1030" o:spid="_x0000_s103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4"/>
                  <w:jc w:val="both"/>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nThickSmallGap" w:color="auto" w:sz="24" w:space="1"/>
      </w:pBdr>
      <w:rPr>
        <w:rFonts w:ascii="Tahoma" w:hAnsi="Tahoma"/>
      </w:rPr>
    </w:pPr>
    <w:r>
      <w:rPr>
        <w:rFonts w:hint="eastAsia" w:ascii="Tahoma" w:hAnsi="Tahoma"/>
      </w:rPr>
      <w:t>泗许高速公路2017年部分隔离栅改造隔离墙专项工程施工                                       询比采购文件</w:t>
    </w:r>
  </w:p>
  <w:p>
    <w:pPr>
      <w:pStyle w:val="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40EBE"/>
    <w:multiLevelType w:val="singleLevel"/>
    <w:tmpl w:val="5B340EBE"/>
    <w:lvl w:ilvl="0" w:tentative="0">
      <w:start w:val="2"/>
      <w:numFmt w:val="decimal"/>
      <w:pStyle w:val="16"/>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revisionView w:markup="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459C"/>
    <w:rsid w:val="000001B8"/>
    <w:rsid w:val="0000466C"/>
    <w:rsid w:val="000046CE"/>
    <w:rsid w:val="000046F7"/>
    <w:rsid w:val="0000470E"/>
    <w:rsid w:val="00005F97"/>
    <w:rsid w:val="00006284"/>
    <w:rsid w:val="000101F7"/>
    <w:rsid w:val="000102BA"/>
    <w:rsid w:val="0001096D"/>
    <w:rsid w:val="00010B20"/>
    <w:rsid w:val="00010F5E"/>
    <w:rsid w:val="00013DA5"/>
    <w:rsid w:val="00014597"/>
    <w:rsid w:val="00014D35"/>
    <w:rsid w:val="0001516F"/>
    <w:rsid w:val="00015E6E"/>
    <w:rsid w:val="00016AC2"/>
    <w:rsid w:val="0001715F"/>
    <w:rsid w:val="000203E3"/>
    <w:rsid w:val="0002230E"/>
    <w:rsid w:val="00023058"/>
    <w:rsid w:val="00024213"/>
    <w:rsid w:val="00025F1E"/>
    <w:rsid w:val="000273B7"/>
    <w:rsid w:val="0003051C"/>
    <w:rsid w:val="000306A0"/>
    <w:rsid w:val="00035777"/>
    <w:rsid w:val="00036670"/>
    <w:rsid w:val="000420B3"/>
    <w:rsid w:val="00042B04"/>
    <w:rsid w:val="000450A4"/>
    <w:rsid w:val="00050ABC"/>
    <w:rsid w:val="000511A0"/>
    <w:rsid w:val="000515A4"/>
    <w:rsid w:val="000541A4"/>
    <w:rsid w:val="000544FB"/>
    <w:rsid w:val="00056971"/>
    <w:rsid w:val="00057FDC"/>
    <w:rsid w:val="000601E0"/>
    <w:rsid w:val="00061233"/>
    <w:rsid w:val="00061846"/>
    <w:rsid w:val="000625FF"/>
    <w:rsid w:val="000638D5"/>
    <w:rsid w:val="00064D1E"/>
    <w:rsid w:val="000661B7"/>
    <w:rsid w:val="0007232D"/>
    <w:rsid w:val="00073DC6"/>
    <w:rsid w:val="00073F8E"/>
    <w:rsid w:val="000765D4"/>
    <w:rsid w:val="00080AF3"/>
    <w:rsid w:val="00080F03"/>
    <w:rsid w:val="000812CB"/>
    <w:rsid w:val="000814CF"/>
    <w:rsid w:val="00081724"/>
    <w:rsid w:val="00084306"/>
    <w:rsid w:val="00084365"/>
    <w:rsid w:val="00084CED"/>
    <w:rsid w:val="00084E58"/>
    <w:rsid w:val="000879D4"/>
    <w:rsid w:val="00090820"/>
    <w:rsid w:val="00090EDD"/>
    <w:rsid w:val="00091143"/>
    <w:rsid w:val="00091AFB"/>
    <w:rsid w:val="00091CB6"/>
    <w:rsid w:val="00092439"/>
    <w:rsid w:val="00092B4B"/>
    <w:rsid w:val="00096551"/>
    <w:rsid w:val="000968D7"/>
    <w:rsid w:val="000A127E"/>
    <w:rsid w:val="000A295A"/>
    <w:rsid w:val="000A330F"/>
    <w:rsid w:val="000A37EB"/>
    <w:rsid w:val="000A50FA"/>
    <w:rsid w:val="000A5AAC"/>
    <w:rsid w:val="000A5F1B"/>
    <w:rsid w:val="000A6D43"/>
    <w:rsid w:val="000A7D87"/>
    <w:rsid w:val="000B20F5"/>
    <w:rsid w:val="000B4BB9"/>
    <w:rsid w:val="000B78CD"/>
    <w:rsid w:val="000C0734"/>
    <w:rsid w:val="000C0B5E"/>
    <w:rsid w:val="000C3CAC"/>
    <w:rsid w:val="000C7FB9"/>
    <w:rsid w:val="000D11D0"/>
    <w:rsid w:val="000D17A7"/>
    <w:rsid w:val="000D453C"/>
    <w:rsid w:val="000D59B4"/>
    <w:rsid w:val="000D7B78"/>
    <w:rsid w:val="000E35A9"/>
    <w:rsid w:val="000E3CB4"/>
    <w:rsid w:val="000E790B"/>
    <w:rsid w:val="000F0414"/>
    <w:rsid w:val="000F300F"/>
    <w:rsid w:val="000F3DAD"/>
    <w:rsid w:val="000F3F9D"/>
    <w:rsid w:val="000F50F1"/>
    <w:rsid w:val="000F642F"/>
    <w:rsid w:val="00100601"/>
    <w:rsid w:val="00101FDB"/>
    <w:rsid w:val="00102A2F"/>
    <w:rsid w:val="00102BB0"/>
    <w:rsid w:val="00103156"/>
    <w:rsid w:val="001049A2"/>
    <w:rsid w:val="001053DA"/>
    <w:rsid w:val="0011129E"/>
    <w:rsid w:val="00111426"/>
    <w:rsid w:val="00111FEF"/>
    <w:rsid w:val="00113F4E"/>
    <w:rsid w:val="0011587A"/>
    <w:rsid w:val="00115D0F"/>
    <w:rsid w:val="0011623B"/>
    <w:rsid w:val="001179A7"/>
    <w:rsid w:val="00121855"/>
    <w:rsid w:val="00121AEA"/>
    <w:rsid w:val="00121CC7"/>
    <w:rsid w:val="00122D3C"/>
    <w:rsid w:val="00123D75"/>
    <w:rsid w:val="001250DC"/>
    <w:rsid w:val="001257D5"/>
    <w:rsid w:val="001260CC"/>
    <w:rsid w:val="0013007F"/>
    <w:rsid w:val="00130098"/>
    <w:rsid w:val="00130E73"/>
    <w:rsid w:val="00132183"/>
    <w:rsid w:val="0013263C"/>
    <w:rsid w:val="00132C18"/>
    <w:rsid w:val="00133AC4"/>
    <w:rsid w:val="00133FFD"/>
    <w:rsid w:val="00136354"/>
    <w:rsid w:val="00136855"/>
    <w:rsid w:val="001371D8"/>
    <w:rsid w:val="00140000"/>
    <w:rsid w:val="00140BA9"/>
    <w:rsid w:val="001414FC"/>
    <w:rsid w:val="001442F1"/>
    <w:rsid w:val="00145451"/>
    <w:rsid w:val="001460DF"/>
    <w:rsid w:val="001465A5"/>
    <w:rsid w:val="00147DB0"/>
    <w:rsid w:val="001504C2"/>
    <w:rsid w:val="00152B61"/>
    <w:rsid w:val="001531C5"/>
    <w:rsid w:val="00154D54"/>
    <w:rsid w:val="00155BBC"/>
    <w:rsid w:val="00155BDF"/>
    <w:rsid w:val="00155E7B"/>
    <w:rsid w:val="001618E3"/>
    <w:rsid w:val="00161B5F"/>
    <w:rsid w:val="00162EE0"/>
    <w:rsid w:val="001632EF"/>
    <w:rsid w:val="001650BE"/>
    <w:rsid w:val="001654A9"/>
    <w:rsid w:val="0016663C"/>
    <w:rsid w:val="001666B1"/>
    <w:rsid w:val="001715D0"/>
    <w:rsid w:val="00173229"/>
    <w:rsid w:val="00173E6B"/>
    <w:rsid w:val="001759D5"/>
    <w:rsid w:val="00175D3B"/>
    <w:rsid w:val="00176AC8"/>
    <w:rsid w:val="00177CC6"/>
    <w:rsid w:val="00180FB8"/>
    <w:rsid w:val="001829B0"/>
    <w:rsid w:val="00182E66"/>
    <w:rsid w:val="0018491B"/>
    <w:rsid w:val="001851DF"/>
    <w:rsid w:val="00186FEA"/>
    <w:rsid w:val="001903D4"/>
    <w:rsid w:val="00190CCB"/>
    <w:rsid w:val="00191C66"/>
    <w:rsid w:val="00192A7F"/>
    <w:rsid w:val="00192ACB"/>
    <w:rsid w:val="00193F46"/>
    <w:rsid w:val="00194426"/>
    <w:rsid w:val="001961B1"/>
    <w:rsid w:val="001A0538"/>
    <w:rsid w:val="001A0CC4"/>
    <w:rsid w:val="001A3A3C"/>
    <w:rsid w:val="001A46DC"/>
    <w:rsid w:val="001A4BC3"/>
    <w:rsid w:val="001A5138"/>
    <w:rsid w:val="001A5219"/>
    <w:rsid w:val="001A579A"/>
    <w:rsid w:val="001A5E7F"/>
    <w:rsid w:val="001B3F4A"/>
    <w:rsid w:val="001B42AD"/>
    <w:rsid w:val="001B49BB"/>
    <w:rsid w:val="001B53AE"/>
    <w:rsid w:val="001B6103"/>
    <w:rsid w:val="001B6C70"/>
    <w:rsid w:val="001C2C29"/>
    <w:rsid w:val="001C2E3E"/>
    <w:rsid w:val="001C4238"/>
    <w:rsid w:val="001C43C0"/>
    <w:rsid w:val="001C45C2"/>
    <w:rsid w:val="001C6390"/>
    <w:rsid w:val="001C773A"/>
    <w:rsid w:val="001D237E"/>
    <w:rsid w:val="001D3487"/>
    <w:rsid w:val="001D3F54"/>
    <w:rsid w:val="001D5808"/>
    <w:rsid w:val="001D7B9D"/>
    <w:rsid w:val="001E0147"/>
    <w:rsid w:val="001E0A0A"/>
    <w:rsid w:val="001E0B54"/>
    <w:rsid w:val="001E0D88"/>
    <w:rsid w:val="001E27F9"/>
    <w:rsid w:val="001E42F0"/>
    <w:rsid w:val="001E433F"/>
    <w:rsid w:val="001E6AFD"/>
    <w:rsid w:val="001F10DC"/>
    <w:rsid w:val="001F38C0"/>
    <w:rsid w:val="001F4334"/>
    <w:rsid w:val="001F5847"/>
    <w:rsid w:val="001F67E2"/>
    <w:rsid w:val="00200240"/>
    <w:rsid w:val="00200347"/>
    <w:rsid w:val="002008FC"/>
    <w:rsid w:val="00200A91"/>
    <w:rsid w:val="00200EC2"/>
    <w:rsid w:val="00201EFC"/>
    <w:rsid w:val="002029DD"/>
    <w:rsid w:val="002031ED"/>
    <w:rsid w:val="0020350A"/>
    <w:rsid w:val="0020459C"/>
    <w:rsid w:val="00205D0E"/>
    <w:rsid w:val="00206937"/>
    <w:rsid w:val="00206AD0"/>
    <w:rsid w:val="0020715C"/>
    <w:rsid w:val="002105C1"/>
    <w:rsid w:val="002116BF"/>
    <w:rsid w:val="0021395E"/>
    <w:rsid w:val="00214C7C"/>
    <w:rsid w:val="0021699C"/>
    <w:rsid w:val="00220EE7"/>
    <w:rsid w:val="00225A9C"/>
    <w:rsid w:val="00225BB9"/>
    <w:rsid w:val="00227B57"/>
    <w:rsid w:val="00227ED7"/>
    <w:rsid w:val="00230150"/>
    <w:rsid w:val="002330C7"/>
    <w:rsid w:val="0023314C"/>
    <w:rsid w:val="00236EE6"/>
    <w:rsid w:val="00240206"/>
    <w:rsid w:val="00240C09"/>
    <w:rsid w:val="00242A85"/>
    <w:rsid w:val="00244A53"/>
    <w:rsid w:val="002474B4"/>
    <w:rsid w:val="002500C4"/>
    <w:rsid w:val="00250286"/>
    <w:rsid w:val="00250775"/>
    <w:rsid w:val="00251926"/>
    <w:rsid w:val="002556F4"/>
    <w:rsid w:val="00260554"/>
    <w:rsid w:val="002629C6"/>
    <w:rsid w:val="00264705"/>
    <w:rsid w:val="00265439"/>
    <w:rsid w:val="00266791"/>
    <w:rsid w:val="00266D4E"/>
    <w:rsid w:val="00267272"/>
    <w:rsid w:val="002703DC"/>
    <w:rsid w:val="00270663"/>
    <w:rsid w:val="00271238"/>
    <w:rsid w:val="00271708"/>
    <w:rsid w:val="0027199F"/>
    <w:rsid w:val="0027222D"/>
    <w:rsid w:val="00272CED"/>
    <w:rsid w:val="00272E88"/>
    <w:rsid w:val="002736CA"/>
    <w:rsid w:val="00274228"/>
    <w:rsid w:val="00275CA6"/>
    <w:rsid w:val="002777D1"/>
    <w:rsid w:val="00281400"/>
    <w:rsid w:val="00282664"/>
    <w:rsid w:val="00283847"/>
    <w:rsid w:val="00284019"/>
    <w:rsid w:val="00286761"/>
    <w:rsid w:val="00286954"/>
    <w:rsid w:val="00287254"/>
    <w:rsid w:val="002946E3"/>
    <w:rsid w:val="00295637"/>
    <w:rsid w:val="00296D7E"/>
    <w:rsid w:val="00297690"/>
    <w:rsid w:val="00297FD2"/>
    <w:rsid w:val="002A24F1"/>
    <w:rsid w:val="002A2A51"/>
    <w:rsid w:val="002A44B3"/>
    <w:rsid w:val="002A4701"/>
    <w:rsid w:val="002A5BC5"/>
    <w:rsid w:val="002A6445"/>
    <w:rsid w:val="002A72F6"/>
    <w:rsid w:val="002A799B"/>
    <w:rsid w:val="002A7E0A"/>
    <w:rsid w:val="002B007C"/>
    <w:rsid w:val="002B030D"/>
    <w:rsid w:val="002B16BA"/>
    <w:rsid w:val="002B5D33"/>
    <w:rsid w:val="002B717E"/>
    <w:rsid w:val="002B739A"/>
    <w:rsid w:val="002C0B8D"/>
    <w:rsid w:val="002C1876"/>
    <w:rsid w:val="002C19CB"/>
    <w:rsid w:val="002C2645"/>
    <w:rsid w:val="002C484A"/>
    <w:rsid w:val="002C5AF8"/>
    <w:rsid w:val="002C6823"/>
    <w:rsid w:val="002D18C1"/>
    <w:rsid w:val="002D4256"/>
    <w:rsid w:val="002D4264"/>
    <w:rsid w:val="002D58D0"/>
    <w:rsid w:val="002D5C9F"/>
    <w:rsid w:val="002D7665"/>
    <w:rsid w:val="002E0B45"/>
    <w:rsid w:val="002E0E2C"/>
    <w:rsid w:val="002E325E"/>
    <w:rsid w:val="002E3DB8"/>
    <w:rsid w:val="002E3E12"/>
    <w:rsid w:val="002E6BC6"/>
    <w:rsid w:val="002E7BF3"/>
    <w:rsid w:val="002F0926"/>
    <w:rsid w:val="002F1FDA"/>
    <w:rsid w:val="002F20CF"/>
    <w:rsid w:val="002F328D"/>
    <w:rsid w:val="002F3645"/>
    <w:rsid w:val="002F5128"/>
    <w:rsid w:val="002F5D6A"/>
    <w:rsid w:val="002F78A6"/>
    <w:rsid w:val="002F7E1F"/>
    <w:rsid w:val="003035F7"/>
    <w:rsid w:val="00303831"/>
    <w:rsid w:val="00304094"/>
    <w:rsid w:val="0030443A"/>
    <w:rsid w:val="00306159"/>
    <w:rsid w:val="00306BB3"/>
    <w:rsid w:val="00307687"/>
    <w:rsid w:val="00310D39"/>
    <w:rsid w:val="003115A8"/>
    <w:rsid w:val="00311E65"/>
    <w:rsid w:val="00311EEF"/>
    <w:rsid w:val="00313390"/>
    <w:rsid w:val="00313DEE"/>
    <w:rsid w:val="003143DB"/>
    <w:rsid w:val="00314E02"/>
    <w:rsid w:val="00316652"/>
    <w:rsid w:val="00321170"/>
    <w:rsid w:val="00323EF6"/>
    <w:rsid w:val="00324596"/>
    <w:rsid w:val="003300F5"/>
    <w:rsid w:val="00330317"/>
    <w:rsid w:val="003317B6"/>
    <w:rsid w:val="00332404"/>
    <w:rsid w:val="003353A0"/>
    <w:rsid w:val="003358C9"/>
    <w:rsid w:val="00335F3E"/>
    <w:rsid w:val="00336DD5"/>
    <w:rsid w:val="00340483"/>
    <w:rsid w:val="00342D55"/>
    <w:rsid w:val="00343201"/>
    <w:rsid w:val="00343840"/>
    <w:rsid w:val="0034416E"/>
    <w:rsid w:val="003462C6"/>
    <w:rsid w:val="00351A43"/>
    <w:rsid w:val="003527C6"/>
    <w:rsid w:val="003542F7"/>
    <w:rsid w:val="0036061E"/>
    <w:rsid w:val="00361341"/>
    <w:rsid w:val="003631B7"/>
    <w:rsid w:val="00363AB7"/>
    <w:rsid w:val="0036413C"/>
    <w:rsid w:val="0036554B"/>
    <w:rsid w:val="00370C60"/>
    <w:rsid w:val="00374362"/>
    <w:rsid w:val="00375890"/>
    <w:rsid w:val="00375A8F"/>
    <w:rsid w:val="00376D0F"/>
    <w:rsid w:val="003809A8"/>
    <w:rsid w:val="00381693"/>
    <w:rsid w:val="00381CD8"/>
    <w:rsid w:val="003828B1"/>
    <w:rsid w:val="003833BF"/>
    <w:rsid w:val="00384028"/>
    <w:rsid w:val="0038427A"/>
    <w:rsid w:val="00387D57"/>
    <w:rsid w:val="00391010"/>
    <w:rsid w:val="0039196E"/>
    <w:rsid w:val="00392B89"/>
    <w:rsid w:val="0039378E"/>
    <w:rsid w:val="00394031"/>
    <w:rsid w:val="00394F67"/>
    <w:rsid w:val="00395C32"/>
    <w:rsid w:val="003973CC"/>
    <w:rsid w:val="0039749A"/>
    <w:rsid w:val="003A1395"/>
    <w:rsid w:val="003A405D"/>
    <w:rsid w:val="003A49B1"/>
    <w:rsid w:val="003A5D33"/>
    <w:rsid w:val="003A639B"/>
    <w:rsid w:val="003A6AE1"/>
    <w:rsid w:val="003A7118"/>
    <w:rsid w:val="003A7BE3"/>
    <w:rsid w:val="003B08A9"/>
    <w:rsid w:val="003B0BAB"/>
    <w:rsid w:val="003B2997"/>
    <w:rsid w:val="003B45BC"/>
    <w:rsid w:val="003B4BD8"/>
    <w:rsid w:val="003B4C54"/>
    <w:rsid w:val="003B6009"/>
    <w:rsid w:val="003B7049"/>
    <w:rsid w:val="003C0DB4"/>
    <w:rsid w:val="003C247A"/>
    <w:rsid w:val="003C45FE"/>
    <w:rsid w:val="003C4F12"/>
    <w:rsid w:val="003C5FB7"/>
    <w:rsid w:val="003C6425"/>
    <w:rsid w:val="003C6A3A"/>
    <w:rsid w:val="003D13D1"/>
    <w:rsid w:val="003D2CC9"/>
    <w:rsid w:val="003D2FDA"/>
    <w:rsid w:val="003D4461"/>
    <w:rsid w:val="003D720F"/>
    <w:rsid w:val="003D7E7B"/>
    <w:rsid w:val="003E009A"/>
    <w:rsid w:val="003E00B0"/>
    <w:rsid w:val="003E08C9"/>
    <w:rsid w:val="003E08CF"/>
    <w:rsid w:val="003E12C9"/>
    <w:rsid w:val="003E189D"/>
    <w:rsid w:val="003F0578"/>
    <w:rsid w:val="003F0D67"/>
    <w:rsid w:val="003F1093"/>
    <w:rsid w:val="003F374A"/>
    <w:rsid w:val="003F3BE4"/>
    <w:rsid w:val="003F4C82"/>
    <w:rsid w:val="003F695C"/>
    <w:rsid w:val="0040065F"/>
    <w:rsid w:val="00401CEE"/>
    <w:rsid w:val="004042E8"/>
    <w:rsid w:val="004124B3"/>
    <w:rsid w:val="0041490B"/>
    <w:rsid w:val="00414BC1"/>
    <w:rsid w:val="00414E5E"/>
    <w:rsid w:val="004150CB"/>
    <w:rsid w:val="00415FFA"/>
    <w:rsid w:val="00416A59"/>
    <w:rsid w:val="00424857"/>
    <w:rsid w:val="00424A24"/>
    <w:rsid w:val="00425648"/>
    <w:rsid w:val="00431EE9"/>
    <w:rsid w:val="0043340D"/>
    <w:rsid w:val="0043405A"/>
    <w:rsid w:val="004367D8"/>
    <w:rsid w:val="00442CA2"/>
    <w:rsid w:val="0044321C"/>
    <w:rsid w:val="0044564F"/>
    <w:rsid w:val="00446E77"/>
    <w:rsid w:val="0045087D"/>
    <w:rsid w:val="00451B23"/>
    <w:rsid w:val="00452704"/>
    <w:rsid w:val="00454540"/>
    <w:rsid w:val="00454891"/>
    <w:rsid w:val="00456018"/>
    <w:rsid w:val="00456263"/>
    <w:rsid w:val="00460481"/>
    <w:rsid w:val="00460A17"/>
    <w:rsid w:val="00463263"/>
    <w:rsid w:val="004643A3"/>
    <w:rsid w:val="004670F4"/>
    <w:rsid w:val="0047067F"/>
    <w:rsid w:val="00471116"/>
    <w:rsid w:val="0047122B"/>
    <w:rsid w:val="00471BE7"/>
    <w:rsid w:val="00472C8A"/>
    <w:rsid w:val="00472F60"/>
    <w:rsid w:val="0047568A"/>
    <w:rsid w:val="00476465"/>
    <w:rsid w:val="00477BE7"/>
    <w:rsid w:val="0048113A"/>
    <w:rsid w:val="0048191B"/>
    <w:rsid w:val="00481BF8"/>
    <w:rsid w:val="00485B13"/>
    <w:rsid w:val="004914B9"/>
    <w:rsid w:val="00491907"/>
    <w:rsid w:val="00491C08"/>
    <w:rsid w:val="00492884"/>
    <w:rsid w:val="00492F08"/>
    <w:rsid w:val="004A0EEB"/>
    <w:rsid w:val="004A1A4C"/>
    <w:rsid w:val="004A218E"/>
    <w:rsid w:val="004A4B7C"/>
    <w:rsid w:val="004A4FBE"/>
    <w:rsid w:val="004A534E"/>
    <w:rsid w:val="004A5FFE"/>
    <w:rsid w:val="004A6D5C"/>
    <w:rsid w:val="004B22A7"/>
    <w:rsid w:val="004B37D4"/>
    <w:rsid w:val="004B3DCB"/>
    <w:rsid w:val="004B4F13"/>
    <w:rsid w:val="004B5605"/>
    <w:rsid w:val="004B5879"/>
    <w:rsid w:val="004C100B"/>
    <w:rsid w:val="004C3D5D"/>
    <w:rsid w:val="004C4619"/>
    <w:rsid w:val="004C4B0D"/>
    <w:rsid w:val="004C53A5"/>
    <w:rsid w:val="004C6BAC"/>
    <w:rsid w:val="004C7A97"/>
    <w:rsid w:val="004D258D"/>
    <w:rsid w:val="004D2DF2"/>
    <w:rsid w:val="004D4D49"/>
    <w:rsid w:val="004D6844"/>
    <w:rsid w:val="004E0E95"/>
    <w:rsid w:val="004E1C72"/>
    <w:rsid w:val="004E2266"/>
    <w:rsid w:val="004E2EA4"/>
    <w:rsid w:val="004E5300"/>
    <w:rsid w:val="004E6101"/>
    <w:rsid w:val="004E6679"/>
    <w:rsid w:val="004F1B38"/>
    <w:rsid w:val="004F6C88"/>
    <w:rsid w:val="00500010"/>
    <w:rsid w:val="0050060F"/>
    <w:rsid w:val="005015F4"/>
    <w:rsid w:val="00504FFE"/>
    <w:rsid w:val="005050C1"/>
    <w:rsid w:val="00505AEA"/>
    <w:rsid w:val="00506170"/>
    <w:rsid w:val="00506B64"/>
    <w:rsid w:val="0050732B"/>
    <w:rsid w:val="00507BDA"/>
    <w:rsid w:val="00510909"/>
    <w:rsid w:val="00511C4A"/>
    <w:rsid w:val="00512793"/>
    <w:rsid w:val="00512A00"/>
    <w:rsid w:val="00512FCF"/>
    <w:rsid w:val="00514C9D"/>
    <w:rsid w:val="0051501C"/>
    <w:rsid w:val="00515DD7"/>
    <w:rsid w:val="00517429"/>
    <w:rsid w:val="0052303B"/>
    <w:rsid w:val="00523924"/>
    <w:rsid w:val="00524AA3"/>
    <w:rsid w:val="00524FC9"/>
    <w:rsid w:val="0052514B"/>
    <w:rsid w:val="005303D3"/>
    <w:rsid w:val="00531CB0"/>
    <w:rsid w:val="00533839"/>
    <w:rsid w:val="0053394E"/>
    <w:rsid w:val="005358A8"/>
    <w:rsid w:val="00536FEE"/>
    <w:rsid w:val="0054105D"/>
    <w:rsid w:val="0054113B"/>
    <w:rsid w:val="0054183D"/>
    <w:rsid w:val="0054218A"/>
    <w:rsid w:val="005438AB"/>
    <w:rsid w:val="00543EA8"/>
    <w:rsid w:val="0054420E"/>
    <w:rsid w:val="00545216"/>
    <w:rsid w:val="00545F53"/>
    <w:rsid w:val="00546664"/>
    <w:rsid w:val="00547F8C"/>
    <w:rsid w:val="00550D0B"/>
    <w:rsid w:val="00551065"/>
    <w:rsid w:val="005529EA"/>
    <w:rsid w:val="00553F9D"/>
    <w:rsid w:val="00554193"/>
    <w:rsid w:val="0055696F"/>
    <w:rsid w:val="00557CC7"/>
    <w:rsid w:val="00560127"/>
    <w:rsid w:val="00561882"/>
    <w:rsid w:val="00561BD2"/>
    <w:rsid w:val="00562952"/>
    <w:rsid w:val="0056330B"/>
    <w:rsid w:val="005644A2"/>
    <w:rsid w:val="00564965"/>
    <w:rsid w:val="00565A61"/>
    <w:rsid w:val="00567982"/>
    <w:rsid w:val="005738E9"/>
    <w:rsid w:val="005756AD"/>
    <w:rsid w:val="005759E5"/>
    <w:rsid w:val="00576296"/>
    <w:rsid w:val="00576538"/>
    <w:rsid w:val="005772FF"/>
    <w:rsid w:val="00577E53"/>
    <w:rsid w:val="0058126E"/>
    <w:rsid w:val="00581678"/>
    <w:rsid w:val="005822EB"/>
    <w:rsid w:val="00582C7F"/>
    <w:rsid w:val="00582D38"/>
    <w:rsid w:val="00583205"/>
    <w:rsid w:val="0058421C"/>
    <w:rsid w:val="0058594C"/>
    <w:rsid w:val="00586348"/>
    <w:rsid w:val="00586AB2"/>
    <w:rsid w:val="00586DB0"/>
    <w:rsid w:val="00587621"/>
    <w:rsid w:val="0059231C"/>
    <w:rsid w:val="00592ABE"/>
    <w:rsid w:val="0059305E"/>
    <w:rsid w:val="00593209"/>
    <w:rsid w:val="00593A4E"/>
    <w:rsid w:val="00593C1D"/>
    <w:rsid w:val="005958E1"/>
    <w:rsid w:val="00596FDC"/>
    <w:rsid w:val="005A09DA"/>
    <w:rsid w:val="005A2B14"/>
    <w:rsid w:val="005A308C"/>
    <w:rsid w:val="005A4C3B"/>
    <w:rsid w:val="005A5D30"/>
    <w:rsid w:val="005B2E08"/>
    <w:rsid w:val="005B374B"/>
    <w:rsid w:val="005B38A0"/>
    <w:rsid w:val="005B45B0"/>
    <w:rsid w:val="005B4ADF"/>
    <w:rsid w:val="005B4B83"/>
    <w:rsid w:val="005B4D72"/>
    <w:rsid w:val="005B5132"/>
    <w:rsid w:val="005B5D04"/>
    <w:rsid w:val="005C0040"/>
    <w:rsid w:val="005C06A4"/>
    <w:rsid w:val="005C1838"/>
    <w:rsid w:val="005C1C3E"/>
    <w:rsid w:val="005C2408"/>
    <w:rsid w:val="005C2B85"/>
    <w:rsid w:val="005C4F9A"/>
    <w:rsid w:val="005C705D"/>
    <w:rsid w:val="005C7700"/>
    <w:rsid w:val="005C7B30"/>
    <w:rsid w:val="005D07D2"/>
    <w:rsid w:val="005D07FB"/>
    <w:rsid w:val="005D2F94"/>
    <w:rsid w:val="005D3240"/>
    <w:rsid w:val="005D3C34"/>
    <w:rsid w:val="005D6BB7"/>
    <w:rsid w:val="005D73C9"/>
    <w:rsid w:val="005E0C96"/>
    <w:rsid w:val="005E1251"/>
    <w:rsid w:val="005E3443"/>
    <w:rsid w:val="005E384D"/>
    <w:rsid w:val="005E407D"/>
    <w:rsid w:val="005E44EB"/>
    <w:rsid w:val="005E537A"/>
    <w:rsid w:val="005E62E0"/>
    <w:rsid w:val="005F11D3"/>
    <w:rsid w:val="005F19FE"/>
    <w:rsid w:val="005F20DB"/>
    <w:rsid w:val="005F28F2"/>
    <w:rsid w:val="005F4EC8"/>
    <w:rsid w:val="005F5147"/>
    <w:rsid w:val="005F681F"/>
    <w:rsid w:val="005F6AA9"/>
    <w:rsid w:val="005F74B9"/>
    <w:rsid w:val="00600AFA"/>
    <w:rsid w:val="006013DF"/>
    <w:rsid w:val="006027FC"/>
    <w:rsid w:val="00602993"/>
    <w:rsid w:val="0060363F"/>
    <w:rsid w:val="00606956"/>
    <w:rsid w:val="00612520"/>
    <w:rsid w:val="0061424A"/>
    <w:rsid w:val="00616E6C"/>
    <w:rsid w:val="00616EF2"/>
    <w:rsid w:val="0061754A"/>
    <w:rsid w:val="00620A75"/>
    <w:rsid w:val="00621077"/>
    <w:rsid w:val="00621746"/>
    <w:rsid w:val="00621E92"/>
    <w:rsid w:val="00622FE3"/>
    <w:rsid w:val="0062354C"/>
    <w:rsid w:val="00623FDB"/>
    <w:rsid w:val="006254C2"/>
    <w:rsid w:val="006261D3"/>
    <w:rsid w:val="00630E81"/>
    <w:rsid w:val="006323DC"/>
    <w:rsid w:val="00642A78"/>
    <w:rsid w:val="006453B8"/>
    <w:rsid w:val="0064610F"/>
    <w:rsid w:val="006477F5"/>
    <w:rsid w:val="00652005"/>
    <w:rsid w:val="0065385B"/>
    <w:rsid w:val="00653EDA"/>
    <w:rsid w:val="006563E4"/>
    <w:rsid w:val="00657659"/>
    <w:rsid w:val="006578B0"/>
    <w:rsid w:val="00660511"/>
    <w:rsid w:val="00661391"/>
    <w:rsid w:val="0066197C"/>
    <w:rsid w:val="00662D13"/>
    <w:rsid w:val="006636FC"/>
    <w:rsid w:val="00663BF2"/>
    <w:rsid w:val="006665F8"/>
    <w:rsid w:val="00666B02"/>
    <w:rsid w:val="006703E6"/>
    <w:rsid w:val="0067156E"/>
    <w:rsid w:val="00673DEA"/>
    <w:rsid w:val="00674BB0"/>
    <w:rsid w:val="00674DD2"/>
    <w:rsid w:val="00674DE5"/>
    <w:rsid w:val="00675322"/>
    <w:rsid w:val="006771F7"/>
    <w:rsid w:val="006773D9"/>
    <w:rsid w:val="00677AA2"/>
    <w:rsid w:val="006809F7"/>
    <w:rsid w:val="006859F5"/>
    <w:rsid w:val="00685ADE"/>
    <w:rsid w:val="00686AEE"/>
    <w:rsid w:val="00694075"/>
    <w:rsid w:val="0069444D"/>
    <w:rsid w:val="00694699"/>
    <w:rsid w:val="00695775"/>
    <w:rsid w:val="006961D2"/>
    <w:rsid w:val="006A02C9"/>
    <w:rsid w:val="006A166B"/>
    <w:rsid w:val="006A49D1"/>
    <w:rsid w:val="006A579D"/>
    <w:rsid w:val="006B173A"/>
    <w:rsid w:val="006B1E7B"/>
    <w:rsid w:val="006B1FC0"/>
    <w:rsid w:val="006B216D"/>
    <w:rsid w:val="006B5E03"/>
    <w:rsid w:val="006B6AA5"/>
    <w:rsid w:val="006B793D"/>
    <w:rsid w:val="006C195A"/>
    <w:rsid w:val="006C235B"/>
    <w:rsid w:val="006C2F26"/>
    <w:rsid w:val="006C6328"/>
    <w:rsid w:val="006C7644"/>
    <w:rsid w:val="006C7944"/>
    <w:rsid w:val="006D2810"/>
    <w:rsid w:val="006D4121"/>
    <w:rsid w:val="006D4BAC"/>
    <w:rsid w:val="006D5023"/>
    <w:rsid w:val="006D7128"/>
    <w:rsid w:val="006D7C7C"/>
    <w:rsid w:val="006E0A30"/>
    <w:rsid w:val="006E2FD4"/>
    <w:rsid w:val="006E3017"/>
    <w:rsid w:val="006E3A98"/>
    <w:rsid w:val="006E4E75"/>
    <w:rsid w:val="006E4F5C"/>
    <w:rsid w:val="006E70F0"/>
    <w:rsid w:val="006F20DB"/>
    <w:rsid w:val="006F2320"/>
    <w:rsid w:val="006F25C6"/>
    <w:rsid w:val="006F2AE3"/>
    <w:rsid w:val="006F35F1"/>
    <w:rsid w:val="006F3B69"/>
    <w:rsid w:val="006F7AAA"/>
    <w:rsid w:val="00700FE8"/>
    <w:rsid w:val="00702D16"/>
    <w:rsid w:val="00704D07"/>
    <w:rsid w:val="007057AF"/>
    <w:rsid w:val="007078E5"/>
    <w:rsid w:val="007078EC"/>
    <w:rsid w:val="00711EC5"/>
    <w:rsid w:val="00715730"/>
    <w:rsid w:val="0071646E"/>
    <w:rsid w:val="00720EB6"/>
    <w:rsid w:val="007215B0"/>
    <w:rsid w:val="0072245B"/>
    <w:rsid w:val="007229A0"/>
    <w:rsid w:val="00722DB5"/>
    <w:rsid w:val="0073063C"/>
    <w:rsid w:val="0073349E"/>
    <w:rsid w:val="00735349"/>
    <w:rsid w:val="00735DF5"/>
    <w:rsid w:val="00736169"/>
    <w:rsid w:val="00736CA6"/>
    <w:rsid w:val="007374DD"/>
    <w:rsid w:val="00740834"/>
    <w:rsid w:val="0074085F"/>
    <w:rsid w:val="00741FA6"/>
    <w:rsid w:val="00743907"/>
    <w:rsid w:val="00743B54"/>
    <w:rsid w:val="007440B7"/>
    <w:rsid w:val="007459AC"/>
    <w:rsid w:val="00746A1A"/>
    <w:rsid w:val="0075246E"/>
    <w:rsid w:val="00752ADD"/>
    <w:rsid w:val="00753744"/>
    <w:rsid w:val="00755264"/>
    <w:rsid w:val="00755548"/>
    <w:rsid w:val="0075574E"/>
    <w:rsid w:val="00755A2A"/>
    <w:rsid w:val="007564AA"/>
    <w:rsid w:val="00757680"/>
    <w:rsid w:val="00757A21"/>
    <w:rsid w:val="007611CC"/>
    <w:rsid w:val="00761A4A"/>
    <w:rsid w:val="007629A7"/>
    <w:rsid w:val="00762DFD"/>
    <w:rsid w:val="00763097"/>
    <w:rsid w:val="00764771"/>
    <w:rsid w:val="00765645"/>
    <w:rsid w:val="00765DC4"/>
    <w:rsid w:val="00766ACF"/>
    <w:rsid w:val="00770586"/>
    <w:rsid w:val="00771D23"/>
    <w:rsid w:val="00772785"/>
    <w:rsid w:val="0077294E"/>
    <w:rsid w:val="00772AB0"/>
    <w:rsid w:val="007736F1"/>
    <w:rsid w:val="00773FC5"/>
    <w:rsid w:val="0077482B"/>
    <w:rsid w:val="00774C32"/>
    <w:rsid w:val="0077720B"/>
    <w:rsid w:val="00777CD1"/>
    <w:rsid w:val="00781636"/>
    <w:rsid w:val="007821B5"/>
    <w:rsid w:val="00782EEA"/>
    <w:rsid w:val="00784FEA"/>
    <w:rsid w:val="007868DF"/>
    <w:rsid w:val="00792C2A"/>
    <w:rsid w:val="007936B5"/>
    <w:rsid w:val="00794B99"/>
    <w:rsid w:val="00794C76"/>
    <w:rsid w:val="00795F11"/>
    <w:rsid w:val="007A10E9"/>
    <w:rsid w:val="007A39C6"/>
    <w:rsid w:val="007A4619"/>
    <w:rsid w:val="007A511A"/>
    <w:rsid w:val="007A7FD2"/>
    <w:rsid w:val="007B27CF"/>
    <w:rsid w:val="007B738F"/>
    <w:rsid w:val="007C0C8C"/>
    <w:rsid w:val="007C298D"/>
    <w:rsid w:val="007D3AC5"/>
    <w:rsid w:val="007D3B26"/>
    <w:rsid w:val="007D3C1A"/>
    <w:rsid w:val="007D67D9"/>
    <w:rsid w:val="007D7865"/>
    <w:rsid w:val="007D7CBD"/>
    <w:rsid w:val="007E04CD"/>
    <w:rsid w:val="007E165F"/>
    <w:rsid w:val="007E18A2"/>
    <w:rsid w:val="007E22B3"/>
    <w:rsid w:val="007E2CB5"/>
    <w:rsid w:val="007E3B18"/>
    <w:rsid w:val="007E5556"/>
    <w:rsid w:val="007E5B0D"/>
    <w:rsid w:val="007E633D"/>
    <w:rsid w:val="007E6809"/>
    <w:rsid w:val="007E6CC7"/>
    <w:rsid w:val="007E7633"/>
    <w:rsid w:val="007E7B79"/>
    <w:rsid w:val="007F0C2B"/>
    <w:rsid w:val="007F15AE"/>
    <w:rsid w:val="007F316E"/>
    <w:rsid w:val="007F4D6A"/>
    <w:rsid w:val="007F563B"/>
    <w:rsid w:val="007F5AC6"/>
    <w:rsid w:val="008007C0"/>
    <w:rsid w:val="00801719"/>
    <w:rsid w:val="0080544F"/>
    <w:rsid w:val="00805820"/>
    <w:rsid w:val="008112FB"/>
    <w:rsid w:val="008163B6"/>
    <w:rsid w:val="00817C2B"/>
    <w:rsid w:val="00820051"/>
    <w:rsid w:val="00820497"/>
    <w:rsid w:val="00821518"/>
    <w:rsid w:val="00821BE2"/>
    <w:rsid w:val="00821E5C"/>
    <w:rsid w:val="00821F0C"/>
    <w:rsid w:val="00824D44"/>
    <w:rsid w:val="00826E18"/>
    <w:rsid w:val="00831119"/>
    <w:rsid w:val="00831394"/>
    <w:rsid w:val="00836D2A"/>
    <w:rsid w:val="0083760E"/>
    <w:rsid w:val="00842253"/>
    <w:rsid w:val="00842C80"/>
    <w:rsid w:val="0084391E"/>
    <w:rsid w:val="00845BD3"/>
    <w:rsid w:val="00845C8F"/>
    <w:rsid w:val="0084603F"/>
    <w:rsid w:val="00851766"/>
    <w:rsid w:val="00856376"/>
    <w:rsid w:val="0085671F"/>
    <w:rsid w:val="008568DB"/>
    <w:rsid w:val="00856BAC"/>
    <w:rsid w:val="00857034"/>
    <w:rsid w:val="00857BB5"/>
    <w:rsid w:val="0086069F"/>
    <w:rsid w:val="00860917"/>
    <w:rsid w:val="00862EA0"/>
    <w:rsid w:val="00863C79"/>
    <w:rsid w:val="00864E02"/>
    <w:rsid w:val="008654D9"/>
    <w:rsid w:val="00865D1C"/>
    <w:rsid w:val="00866C08"/>
    <w:rsid w:val="00871EE5"/>
    <w:rsid w:val="008755AB"/>
    <w:rsid w:val="00875BA4"/>
    <w:rsid w:val="0087663D"/>
    <w:rsid w:val="00876D7F"/>
    <w:rsid w:val="00877CA3"/>
    <w:rsid w:val="00877F7B"/>
    <w:rsid w:val="0088161E"/>
    <w:rsid w:val="008817F7"/>
    <w:rsid w:val="00882B52"/>
    <w:rsid w:val="00882F89"/>
    <w:rsid w:val="0088486D"/>
    <w:rsid w:val="00886B76"/>
    <w:rsid w:val="00887657"/>
    <w:rsid w:val="00891234"/>
    <w:rsid w:val="00891AC9"/>
    <w:rsid w:val="00892143"/>
    <w:rsid w:val="00892747"/>
    <w:rsid w:val="008956CF"/>
    <w:rsid w:val="00895811"/>
    <w:rsid w:val="00895859"/>
    <w:rsid w:val="008A108F"/>
    <w:rsid w:val="008A38AF"/>
    <w:rsid w:val="008A4047"/>
    <w:rsid w:val="008A44FE"/>
    <w:rsid w:val="008A56AD"/>
    <w:rsid w:val="008A5DC3"/>
    <w:rsid w:val="008A646B"/>
    <w:rsid w:val="008A6F9B"/>
    <w:rsid w:val="008B3069"/>
    <w:rsid w:val="008B3F28"/>
    <w:rsid w:val="008B4ACA"/>
    <w:rsid w:val="008B4DD1"/>
    <w:rsid w:val="008B4FF0"/>
    <w:rsid w:val="008B6AEF"/>
    <w:rsid w:val="008B6BC7"/>
    <w:rsid w:val="008B7CE3"/>
    <w:rsid w:val="008C0BCD"/>
    <w:rsid w:val="008C0BE9"/>
    <w:rsid w:val="008C2210"/>
    <w:rsid w:val="008C4C93"/>
    <w:rsid w:val="008C5E36"/>
    <w:rsid w:val="008C72AB"/>
    <w:rsid w:val="008D1B8A"/>
    <w:rsid w:val="008D2353"/>
    <w:rsid w:val="008D2D20"/>
    <w:rsid w:val="008D31E6"/>
    <w:rsid w:val="008D3AC6"/>
    <w:rsid w:val="008D4C07"/>
    <w:rsid w:val="008D7DE7"/>
    <w:rsid w:val="008E16D5"/>
    <w:rsid w:val="008E1B91"/>
    <w:rsid w:val="008E1BF4"/>
    <w:rsid w:val="008E27FF"/>
    <w:rsid w:val="008E3664"/>
    <w:rsid w:val="008E7A5F"/>
    <w:rsid w:val="008F06C8"/>
    <w:rsid w:val="008F1C37"/>
    <w:rsid w:val="008F2637"/>
    <w:rsid w:val="008F3637"/>
    <w:rsid w:val="008F4AB9"/>
    <w:rsid w:val="008F64CE"/>
    <w:rsid w:val="008F73F6"/>
    <w:rsid w:val="008F74B1"/>
    <w:rsid w:val="008F7AF9"/>
    <w:rsid w:val="0090012A"/>
    <w:rsid w:val="0090100C"/>
    <w:rsid w:val="009014E1"/>
    <w:rsid w:val="00901B31"/>
    <w:rsid w:val="00901FAD"/>
    <w:rsid w:val="009038D2"/>
    <w:rsid w:val="009051AE"/>
    <w:rsid w:val="00907D00"/>
    <w:rsid w:val="00907DA5"/>
    <w:rsid w:val="00911387"/>
    <w:rsid w:val="00913282"/>
    <w:rsid w:val="009133E9"/>
    <w:rsid w:val="0091457D"/>
    <w:rsid w:val="00914C78"/>
    <w:rsid w:val="00915EF0"/>
    <w:rsid w:val="00921352"/>
    <w:rsid w:val="00921A25"/>
    <w:rsid w:val="009220D8"/>
    <w:rsid w:val="00923672"/>
    <w:rsid w:val="00923933"/>
    <w:rsid w:val="00924453"/>
    <w:rsid w:val="00924BED"/>
    <w:rsid w:val="00925E9E"/>
    <w:rsid w:val="00927EA4"/>
    <w:rsid w:val="00931B87"/>
    <w:rsid w:val="009326CE"/>
    <w:rsid w:val="00932982"/>
    <w:rsid w:val="009352A0"/>
    <w:rsid w:val="009404C8"/>
    <w:rsid w:val="00940802"/>
    <w:rsid w:val="00941E80"/>
    <w:rsid w:val="00942ED7"/>
    <w:rsid w:val="00943FD1"/>
    <w:rsid w:val="00944344"/>
    <w:rsid w:val="0094618C"/>
    <w:rsid w:val="0094765F"/>
    <w:rsid w:val="00950160"/>
    <w:rsid w:val="0095038D"/>
    <w:rsid w:val="0095195D"/>
    <w:rsid w:val="00951F06"/>
    <w:rsid w:val="009530B2"/>
    <w:rsid w:val="00953FC8"/>
    <w:rsid w:val="0095400E"/>
    <w:rsid w:val="00954502"/>
    <w:rsid w:val="00955026"/>
    <w:rsid w:val="00955C37"/>
    <w:rsid w:val="00960C53"/>
    <w:rsid w:val="00961DB7"/>
    <w:rsid w:val="009635E9"/>
    <w:rsid w:val="009650FD"/>
    <w:rsid w:val="00966365"/>
    <w:rsid w:val="00967458"/>
    <w:rsid w:val="00967B27"/>
    <w:rsid w:val="00972645"/>
    <w:rsid w:val="00972F64"/>
    <w:rsid w:val="00972FE6"/>
    <w:rsid w:val="0097322F"/>
    <w:rsid w:val="00974291"/>
    <w:rsid w:val="00976836"/>
    <w:rsid w:val="00980238"/>
    <w:rsid w:val="00980936"/>
    <w:rsid w:val="009810C0"/>
    <w:rsid w:val="00983A6F"/>
    <w:rsid w:val="00984B4D"/>
    <w:rsid w:val="00985E5B"/>
    <w:rsid w:val="00993952"/>
    <w:rsid w:val="00993B1A"/>
    <w:rsid w:val="00995622"/>
    <w:rsid w:val="009A13E9"/>
    <w:rsid w:val="009A1F75"/>
    <w:rsid w:val="009A256A"/>
    <w:rsid w:val="009A4252"/>
    <w:rsid w:val="009A4542"/>
    <w:rsid w:val="009A5DC3"/>
    <w:rsid w:val="009B0B06"/>
    <w:rsid w:val="009B412D"/>
    <w:rsid w:val="009B4417"/>
    <w:rsid w:val="009B49A4"/>
    <w:rsid w:val="009B51A3"/>
    <w:rsid w:val="009B7BC7"/>
    <w:rsid w:val="009C0CCB"/>
    <w:rsid w:val="009C16DB"/>
    <w:rsid w:val="009C3257"/>
    <w:rsid w:val="009C46A4"/>
    <w:rsid w:val="009C5174"/>
    <w:rsid w:val="009C615F"/>
    <w:rsid w:val="009C6276"/>
    <w:rsid w:val="009C6ED9"/>
    <w:rsid w:val="009C7611"/>
    <w:rsid w:val="009D1F5C"/>
    <w:rsid w:val="009D3A1C"/>
    <w:rsid w:val="009D5183"/>
    <w:rsid w:val="009D58AC"/>
    <w:rsid w:val="009D646D"/>
    <w:rsid w:val="009D6768"/>
    <w:rsid w:val="009D7D83"/>
    <w:rsid w:val="009E04B3"/>
    <w:rsid w:val="009E0B0C"/>
    <w:rsid w:val="009E10A6"/>
    <w:rsid w:val="009E1927"/>
    <w:rsid w:val="009E1949"/>
    <w:rsid w:val="009E2D2B"/>
    <w:rsid w:val="009E43D5"/>
    <w:rsid w:val="009E62EB"/>
    <w:rsid w:val="009F0B16"/>
    <w:rsid w:val="009F0E89"/>
    <w:rsid w:val="009F1EEB"/>
    <w:rsid w:val="009F35B5"/>
    <w:rsid w:val="009F6A2E"/>
    <w:rsid w:val="009F6FEF"/>
    <w:rsid w:val="00A026BF"/>
    <w:rsid w:val="00A0365E"/>
    <w:rsid w:val="00A072D6"/>
    <w:rsid w:val="00A10127"/>
    <w:rsid w:val="00A10203"/>
    <w:rsid w:val="00A10471"/>
    <w:rsid w:val="00A119A9"/>
    <w:rsid w:val="00A1233A"/>
    <w:rsid w:val="00A127CE"/>
    <w:rsid w:val="00A12A4A"/>
    <w:rsid w:val="00A1407E"/>
    <w:rsid w:val="00A14719"/>
    <w:rsid w:val="00A15484"/>
    <w:rsid w:val="00A15F5A"/>
    <w:rsid w:val="00A2149E"/>
    <w:rsid w:val="00A21A97"/>
    <w:rsid w:val="00A23A3F"/>
    <w:rsid w:val="00A2401F"/>
    <w:rsid w:val="00A26827"/>
    <w:rsid w:val="00A27780"/>
    <w:rsid w:val="00A27E6B"/>
    <w:rsid w:val="00A30A17"/>
    <w:rsid w:val="00A30B1F"/>
    <w:rsid w:val="00A30EB9"/>
    <w:rsid w:val="00A3122C"/>
    <w:rsid w:val="00A33624"/>
    <w:rsid w:val="00A33D66"/>
    <w:rsid w:val="00A34D33"/>
    <w:rsid w:val="00A36072"/>
    <w:rsid w:val="00A3793F"/>
    <w:rsid w:val="00A40791"/>
    <w:rsid w:val="00A407BD"/>
    <w:rsid w:val="00A41632"/>
    <w:rsid w:val="00A44586"/>
    <w:rsid w:val="00A44E5D"/>
    <w:rsid w:val="00A45448"/>
    <w:rsid w:val="00A4568F"/>
    <w:rsid w:val="00A47562"/>
    <w:rsid w:val="00A50BFB"/>
    <w:rsid w:val="00A50D51"/>
    <w:rsid w:val="00A520A3"/>
    <w:rsid w:val="00A527D3"/>
    <w:rsid w:val="00A55CB8"/>
    <w:rsid w:val="00A61447"/>
    <w:rsid w:val="00A61DE7"/>
    <w:rsid w:val="00A621EE"/>
    <w:rsid w:val="00A62668"/>
    <w:rsid w:val="00A6613C"/>
    <w:rsid w:val="00A66A5E"/>
    <w:rsid w:val="00A6774E"/>
    <w:rsid w:val="00A7175F"/>
    <w:rsid w:val="00A71CA1"/>
    <w:rsid w:val="00A72576"/>
    <w:rsid w:val="00A733DA"/>
    <w:rsid w:val="00A73D27"/>
    <w:rsid w:val="00A77071"/>
    <w:rsid w:val="00A771D3"/>
    <w:rsid w:val="00A837C6"/>
    <w:rsid w:val="00A83A50"/>
    <w:rsid w:val="00A84067"/>
    <w:rsid w:val="00A84906"/>
    <w:rsid w:val="00A8514F"/>
    <w:rsid w:val="00A85E01"/>
    <w:rsid w:val="00A85EF2"/>
    <w:rsid w:val="00A9086C"/>
    <w:rsid w:val="00A91903"/>
    <w:rsid w:val="00A91F86"/>
    <w:rsid w:val="00A92B8F"/>
    <w:rsid w:val="00A93192"/>
    <w:rsid w:val="00A94D2D"/>
    <w:rsid w:val="00A97155"/>
    <w:rsid w:val="00A97A9E"/>
    <w:rsid w:val="00A97E1C"/>
    <w:rsid w:val="00AA03AD"/>
    <w:rsid w:val="00AA0454"/>
    <w:rsid w:val="00AA0A19"/>
    <w:rsid w:val="00AA22F1"/>
    <w:rsid w:val="00AA33FA"/>
    <w:rsid w:val="00AA421E"/>
    <w:rsid w:val="00AA4BD9"/>
    <w:rsid w:val="00AA6842"/>
    <w:rsid w:val="00AA68E8"/>
    <w:rsid w:val="00AA705F"/>
    <w:rsid w:val="00AB059F"/>
    <w:rsid w:val="00AB1828"/>
    <w:rsid w:val="00AB34C6"/>
    <w:rsid w:val="00AB4CD0"/>
    <w:rsid w:val="00AB5495"/>
    <w:rsid w:val="00AB561B"/>
    <w:rsid w:val="00AB615E"/>
    <w:rsid w:val="00AB7A42"/>
    <w:rsid w:val="00AC0094"/>
    <w:rsid w:val="00AC03E7"/>
    <w:rsid w:val="00AC05EE"/>
    <w:rsid w:val="00AC154B"/>
    <w:rsid w:val="00AC3634"/>
    <w:rsid w:val="00AC3B5C"/>
    <w:rsid w:val="00AC4DBF"/>
    <w:rsid w:val="00AC567F"/>
    <w:rsid w:val="00AC66FB"/>
    <w:rsid w:val="00AC6884"/>
    <w:rsid w:val="00AD0162"/>
    <w:rsid w:val="00AD055E"/>
    <w:rsid w:val="00AD1A28"/>
    <w:rsid w:val="00AD50ED"/>
    <w:rsid w:val="00AD5B3A"/>
    <w:rsid w:val="00AE2602"/>
    <w:rsid w:val="00AE2BE1"/>
    <w:rsid w:val="00AE2FEF"/>
    <w:rsid w:val="00AE4651"/>
    <w:rsid w:val="00AE7AF6"/>
    <w:rsid w:val="00AF06E9"/>
    <w:rsid w:val="00AF11FD"/>
    <w:rsid w:val="00AF14BB"/>
    <w:rsid w:val="00AF173A"/>
    <w:rsid w:val="00AF38C8"/>
    <w:rsid w:val="00AF5BDB"/>
    <w:rsid w:val="00AF73CF"/>
    <w:rsid w:val="00B01962"/>
    <w:rsid w:val="00B06553"/>
    <w:rsid w:val="00B06EEF"/>
    <w:rsid w:val="00B07E15"/>
    <w:rsid w:val="00B10400"/>
    <w:rsid w:val="00B12009"/>
    <w:rsid w:val="00B12513"/>
    <w:rsid w:val="00B1336A"/>
    <w:rsid w:val="00B14253"/>
    <w:rsid w:val="00B1550C"/>
    <w:rsid w:val="00B166A6"/>
    <w:rsid w:val="00B20103"/>
    <w:rsid w:val="00B303FC"/>
    <w:rsid w:val="00B34B84"/>
    <w:rsid w:val="00B364AF"/>
    <w:rsid w:val="00B368BD"/>
    <w:rsid w:val="00B37304"/>
    <w:rsid w:val="00B37832"/>
    <w:rsid w:val="00B4022A"/>
    <w:rsid w:val="00B406FD"/>
    <w:rsid w:val="00B427F0"/>
    <w:rsid w:val="00B447E7"/>
    <w:rsid w:val="00B44C6E"/>
    <w:rsid w:val="00B46DB5"/>
    <w:rsid w:val="00B478F3"/>
    <w:rsid w:val="00B508AA"/>
    <w:rsid w:val="00B51466"/>
    <w:rsid w:val="00B527BB"/>
    <w:rsid w:val="00B54825"/>
    <w:rsid w:val="00B606F5"/>
    <w:rsid w:val="00B61838"/>
    <w:rsid w:val="00B63043"/>
    <w:rsid w:val="00B63288"/>
    <w:rsid w:val="00B634CB"/>
    <w:rsid w:val="00B64033"/>
    <w:rsid w:val="00B660CC"/>
    <w:rsid w:val="00B6678E"/>
    <w:rsid w:val="00B6770E"/>
    <w:rsid w:val="00B67E8D"/>
    <w:rsid w:val="00B70857"/>
    <w:rsid w:val="00B72CA0"/>
    <w:rsid w:val="00B72D01"/>
    <w:rsid w:val="00B7305E"/>
    <w:rsid w:val="00B756FB"/>
    <w:rsid w:val="00B772FD"/>
    <w:rsid w:val="00B821B4"/>
    <w:rsid w:val="00B83C32"/>
    <w:rsid w:val="00B83C4A"/>
    <w:rsid w:val="00B856D0"/>
    <w:rsid w:val="00B85A1F"/>
    <w:rsid w:val="00B860AB"/>
    <w:rsid w:val="00B92499"/>
    <w:rsid w:val="00B929AD"/>
    <w:rsid w:val="00B9382B"/>
    <w:rsid w:val="00B93C82"/>
    <w:rsid w:val="00B956F5"/>
    <w:rsid w:val="00B96010"/>
    <w:rsid w:val="00B965F7"/>
    <w:rsid w:val="00B9712E"/>
    <w:rsid w:val="00BA01DB"/>
    <w:rsid w:val="00BA1F72"/>
    <w:rsid w:val="00BA3A6E"/>
    <w:rsid w:val="00BA3F0D"/>
    <w:rsid w:val="00BA66FE"/>
    <w:rsid w:val="00BA7D33"/>
    <w:rsid w:val="00BB0681"/>
    <w:rsid w:val="00BB1CF6"/>
    <w:rsid w:val="00BB2618"/>
    <w:rsid w:val="00BB2B47"/>
    <w:rsid w:val="00BB4DCF"/>
    <w:rsid w:val="00BB76EF"/>
    <w:rsid w:val="00BC23C3"/>
    <w:rsid w:val="00BC2933"/>
    <w:rsid w:val="00BC4722"/>
    <w:rsid w:val="00BC5307"/>
    <w:rsid w:val="00BC60ED"/>
    <w:rsid w:val="00BC6CCB"/>
    <w:rsid w:val="00BC720A"/>
    <w:rsid w:val="00BC7BEF"/>
    <w:rsid w:val="00BD0B1C"/>
    <w:rsid w:val="00BD0BC7"/>
    <w:rsid w:val="00BD1E46"/>
    <w:rsid w:val="00BD2C8C"/>
    <w:rsid w:val="00BD471E"/>
    <w:rsid w:val="00BD5F1C"/>
    <w:rsid w:val="00BD604B"/>
    <w:rsid w:val="00BD618E"/>
    <w:rsid w:val="00BD6A0B"/>
    <w:rsid w:val="00BD6E7F"/>
    <w:rsid w:val="00BE01A2"/>
    <w:rsid w:val="00BE0580"/>
    <w:rsid w:val="00BE0F37"/>
    <w:rsid w:val="00BE354E"/>
    <w:rsid w:val="00BE58F1"/>
    <w:rsid w:val="00BE6890"/>
    <w:rsid w:val="00BF05BB"/>
    <w:rsid w:val="00BF0CCF"/>
    <w:rsid w:val="00BF11D7"/>
    <w:rsid w:val="00BF1358"/>
    <w:rsid w:val="00BF18A5"/>
    <w:rsid w:val="00BF1EE7"/>
    <w:rsid w:val="00BF3102"/>
    <w:rsid w:val="00BF3A88"/>
    <w:rsid w:val="00BF478E"/>
    <w:rsid w:val="00BF6DD9"/>
    <w:rsid w:val="00C00222"/>
    <w:rsid w:val="00C0280D"/>
    <w:rsid w:val="00C05E96"/>
    <w:rsid w:val="00C07158"/>
    <w:rsid w:val="00C11D00"/>
    <w:rsid w:val="00C1367B"/>
    <w:rsid w:val="00C159ED"/>
    <w:rsid w:val="00C16018"/>
    <w:rsid w:val="00C163A4"/>
    <w:rsid w:val="00C20640"/>
    <w:rsid w:val="00C227EB"/>
    <w:rsid w:val="00C245AB"/>
    <w:rsid w:val="00C31D3F"/>
    <w:rsid w:val="00C31D4D"/>
    <w:rsid w:val="00C32AED"/>
    <w:rsid w:val="00C33FBF"/>
    <w:rsid w:val="00C36122"/>
    <w:rsid w:val="00C404BD"/>
    <w:rsid w:val="00C4074A"/>
    <w:rsid w:val="00C40ED2"/>
    <w:rsid w:val="00C4258F"/>
    <w:rsid w:val="00C43681"/>
    <w:rsid w:val="00C4450C"/>
    <w:rsid w:val="00C4643B"/>
    <w:rsid w:val="00C469EE"/>
    <w:rsid w:val="00C46EC4"/>
    <w:rsid w:val="00C4799F"/>
    <w:rsid w:val="00C51BF9"/>
    <w:rsid w:val="00C51EE9"/>
    <w:rsid w:val="00C534C0"/>
    <w:rsid w:val="00C53B82"/>
    <w:rsid w:val="00C5449F"/>
    <w:rsid w:val="00C5490D"/>
    <w:rsid w:val="00C6067B"/>
    <w:rsid w:val="00C60C39"/>
    <w:rsid w:val="00C6255C"/>
    <w:rsid w:val="00C6524A"/>
    <w:rsid w:val="00C67A81"/>
    <w:rsid w:val="00C705F7"/>
    <w:rsid w:val="00C72812"/>
    <w:rsid w:val="00C72916"/>
    <w:rsid w:val="00C7569E"/>
    <w:rsid w:val="00C76369"/>
    <w:rsid w:val="00C8018D"/>
    <w:rsid w:val="00C80230"/>
    <w:rsid w:val="00C81079"/>
    <w:rsid w:val="00C810DC"/>
    <w:rsid w:val="00C82E4B"/>
    <w:rsid w:val="00C85B0E"/>
    <w:rsid w:val="00C85B18"/>
    <w:rsid w:val="00C92ED3"/>
    <w:rsid w:val="00C94D0E"/>
    <w:rsid w:val="00C954C4"/>
    <w:rsid w:val="00C95BE3"/>
    <w:rsid w:val="00C96342"/>
    <w:rsid w:val="00CA0039"/>
    <w:rsid w:val="00CA077F"/>
    <w:rsid w:val="00CA0B75"/>
    <w:rsid w:val="00CA1E27"/>
    <w:rsid w:val="00CA2209"/>
    <w:rsid w:val="00CA2A61"/>
    <w:rsid w:val="00CA3493"/>
    <w:rsid w:val="00CA39B3"/>
    <w:rsid w:val="00CA47F5"/>
    <w:rsid w:val="00CB01FD"/>
    <w:rsid w:val="00CB0C8E"/>
    <w:rsid w:val="00CB1CDE"/>
    <w:rsid w:val="00CB2489"/>
    <w:rsid w:val="00CB4413"/>
    <w:rsid w:val="00CB6033"/>
    <w:rsid w:val="00CB7D03"/>
    <w:rsid w:val="00CC03FF"/>
    <w:rsid w:val="00CC0630"/>
    <w:rsid w:val="00CC07B7"/>
    <w:rsid w:val="00CC3888"/>
    <w:rsid w:val="00CC463D"/>
    <w:rsid w:val="00CC5BAC"/>
    <w:rsid w:val="00CC7483"/>
    <w:rsid w:val="00CC7EA2"/>
    <w:rsid w:val="00CD10C4"/>
    <w:rsid w:val="00CD2487"/>
    <w:rsid w:val="00CD4D7B"/>
    <w:rsid w:val="00CD5CA1"/>
    <w:rsid w:val="00CD6F5A"/>
    <w:rsid w:val="00CE045F"/>
    <w:rsid w:val="00CE08AE"/>
    <w:rsid w:val="00CE0E26"/>
    <w:rsid w:val="00CE5141"/>
    <w:rsid w:val="00CE5D8B"/>
    <w:rsid w:val="00CE6E65"/>
    <w:rsid w:val="00CF025B"/>
    <w:rsid w:val="00CF0384"/>
    <w:rsid w:val="00CF3C2D"/>
    <w:rsid w:val="00CF4170"/>
    <w:rsid w:val="00CF45B9"/>
    <w:rsid w:val="00CF4C3E"/>
    <w:rsid w:val="00CF6338"/>
    <w:rsid w:val="00CF78DE"/>
    <w:rsid w:val="00D04F09"/>
    <w:rsid w:val="00D060EA"/>
    <w:rsid w:val="00D0632A"/>
    <w:rsid w:val="00D066AC"/>
    <w:rsid w:val="00D06957"/>
    <w:rsid w:val="00D06C30"/>
    <w:rsid w:val="00D10146"/>
    <w:rsid w:val="00D129B4"/>
    <w:rsid w:val="00D152B7"/>
    <w:rsid w:val="00D22DC2"/>
    <w:rsid w:val="00D240F9"/>
    <w:rsid w:val="00D247B6"/>
    <w:rsid w:val="00D251B8"/>
    <w:rsid w:val="00D259F7"/>
    <w:rsid w:val="00D25EC3"/>
    <w:rsid w:val="00D2652D"/>
    <w:rsid w:val="00D27A1D"/>
    <w:rsid w:val="00D30989"/>
    <w:rsid w:val="00D30D02"/>
    <w:rsid w:val="00D31688"/>
    <w:rsid w:val="00D31888"/>
    <w:rsid w:val="00D31ACF"/>
    <w:rsid w:val="00D31EAE"/>
    <w:rsid w:val="00D331A7"/>
    <w:rsid w:val="00D3598C"/>
    <w:rsid w:val="00D36D5B"/>
    <w:rsid w:val="00D3744D"/>
    <w:rsid w:val="00D43242"/>
    <w:rsid w:val="00D43360"/>
    <w:rsid w:val="00D43FB2"/>
    <w:rsid w:val="00D44401"/>
    <w:rsid w:val="00D46160"/>
    <w:rsid w:val="00D464AB"/>
    <w:rsid w:val="00D46A66"/>
    <w:rsid w:val="00D46C9A"/>
    <w:rsid w:val="00D472E2"/>
    <w:rsid w:val="00D47AF2"/>
    <w:rsid w:val="00D52DAC"/>
    <w:rsid w:val="00D5517B"/>
    <w:rsid w:val="00D557C7"/>
    <w:rsid w:val="00D563B7"/>
    <w:rsid w:val="00D57807"/>
    <w:rsid w:val="00D60ABE"/>
    <w:rsid w:val="00D62397"/>
    <w:rsid w:val="00D629BD"/>
    <w:rsid w:val="00D62E00"/>
    <w:rsid w:val="00D63C58"/>
    <w:rsid w:val="00D702B8"/>
    <w:rsid w:val="00D702EB"/>
    <w:rsid w:val="00D742F8"/>
    <w:rsid w:val="00D74A38"/>
    <w:rsid w:val="00D7510C"/>
    <w:rsid w:val="00D772E4"/>
    <w:rsid w:val="00D817D7"/>
    <w:rsid w:val="00D831DE"/>
    <w:rsid w:val="00D83F1B"/>
    <w:rsid w:val="00D84EA3"/>
    <w:rsid w:val="00D84FEA"/>
    <w:rsid w:val="00D86783"/>
    <w:rsid w:val="00D86E0B"/>
    <w:rsid w:val="00D907EB"/>
    <w:rsid w:val="00D93BB0"/>
    <w:rsid w:val="00D97C17"/>
    <w:rsid w:val="00DA06B8"/>
    <w:rsid w:val="00DA0E2E"/>
    <w:rsid w:val="00DA15AA"/>
    <w:rsid w:val="00DA1CA8"/>
    <w:rsid w:val="00DA23F9"/>
    <w:rsid w:val="00DA254F"/>
    <w:rsid w:val="00DA389D"/>
    <w:rsid w:val="00DA3900"/>
    <w:rsid w:val="00DA4406"/>
    <w:rsid w:val="00DA6346"/>
    <w:rsid w:val="00DA7A65"/>
    <w:rsid w:val="00DB08DB"/>
    <w:rsid w:val="00DB1746"/>
    <w:rsid w:val="00DB35D7"/>
    <w:rsid w:val="00DB43AE"/>
    <w:rsid w:val="00DB574B"/>
    <w:rsid w:val="00DC0A89"/>
    <w:rsid w:val="00DC1AF0"/>
    <w:rsid w:val="00DC227D"/>
    <w:rsid w:val="00DC3016"/>
    <w:rsid w:val="00DC3139"/>
    <w:rsid w:val="00DC3B31"/>
    <w:rsid w:val="00DC3EB7"/>
    <w:rsid w:val="00DC42BD"/>
    <w:rsid w:val="00DC56F8"/>
    <w:rsid w:val="00DC796E"/>
    <w:rsid w:val="00DD0812"/>
    <w:rsid w:val="00DD13F8"/>
    <w:rsid w:val="00DD1E39"/>
    <w:rsid w:val="00DD3587"/>
    <w:rsid w:val="00DD3E40"/>
    <w:rsid w:val="00DD7565"/>
    <w:rsid w:val="00DE1DB9"/>
    <w:rsid w:val="00DE25E0"/>
    <w:rsid w:val="00DE2C41"/>
    <w:rsid w:val="00DE3054"/>
    <w:rsid w:val="00DE41F4"/>
    <w:rsid w:val="00DE4B02"/>
    <w:rsid w:val="00DE53D8"/>
    <w:rsid w:val="00DE7D94"/>
    <w:rsid w:val="00DF219E"/>
    <w:rsid w:val="00DF41F6"/>
    <w:rsid w:val="00DF434F"/>
    <w:rsid w:val="00DF6DBE"/>
    <w:rsid w:val="00E01C44"/>
    <w:rsid w:val="00E02C93"/>
    <w:rsid w:val="00E036F9"/>
    <w:rsid w:val="00E057BF"/>
    <w:rsid w:val="00E07CCD"/>
    <w:rsid w:val="00E103E2"/>
    <w:rsid w:val="00E1105D"/>
    <w:rsid w:val="00E11636"/>
    <w:rsid w:val="00E13665"/>
    <w:rsid w:val="00E1496F"/>
    <w:rsid w:val="00E2240A"/>
    <w:rsid w:val="00E22A44"/>
    <w:rsid w:val="00E23235"/>
    <w:rsid w:val="00E23C97"/>
    <w:rsid w:val="00E247F0"/>
    <w:rsid w:val="00E259A7"/>
    <w:rsid w:val="00E27525"/>
    <w:rsid w:val="00E27A14"/>
    <w:rsid w:val="00E27D59"/>
    <w:rsid w:val="00E31B9C"/>
    <w:rsid w:val="00E37A4C"/>
    <w:rsid w:val="00E40BFD"/>
    <w:rsid w:val="00E41BA9"/>
    <w:rsid w:val="00E43178"/>
    <w:rsid w:val="00E4637E"/>
    <w:rsid w:val="00E46724"/>
    <w:rsid w:val="00E47657"/>
    <w:rsid w:val="00E51225"/>
    <w:rsid w:val="00E51E32"/>
    <w:rsid w:val="00E601EC"/>
    <w:rsid w:val="00E60DB0"/>
    <w:rsid w:val="00E61E29"/>
    <w:rsid w:val="00E64E36"/>
    <w:rsid w:val="00E661C2"/>
    <w:rsid w:val="00E71C63"/>
    <w:rsid w:val="00E73296"/>
    <w:rsid w:val="00E770A2"/>
    <w:rsid w:val="00E8000F"/>
    <w:rsid w:val="00E8049A"/>
    <w:rsid w:val="00E8181E"/>
    <w:rsid w:val="00E8228F"/>
    <w:rsid w:val="00E82D3C"/>
    <w:rsid w:val="00E83E72"/>
    <w:rsid w:val="00E86100"/>
    <w:rsid w:val="00E864C0"/>
    <w:rsid w:val="00E866C5"/>
    <w:rsid w:val="00E903C9"/>
    <w:rsid w:val="00E94F57"/>
    <w:rsid w:val="00E9556F"/>
    <w:rsid w:val="00E96A5C"/>
    <w:rsid w:val="00E97AA9"/>
    <w:rsid w:val="00EA03ED"/>
    <w:rsid w:val="00EA0D45"/>
    <w:rsid w:val="00EA1823"/>
    <w:rsid w:val="00EA335E"/>
    <w:rsid w:val="00EA3AE8"/>
    <w:rsid w:val="00EA4848"/>
    <w:rsid w:val="00EA5CE4"/>
    <w:rsid w:val="00EA708D"/>
    <w:rsid w:val="00EB08D3"/>
    <w:rsid w:val="00EB0D74"/>
    <w:rsid w:val="00EB0EC8"/>
    <w:rsid w:val="00EB2C55"/>
    <w:rsid w:val="00EB2C96"/>
    <w:rsid w:val="00EB3A17"/>
    <w:rsid w:val="00EB5274"/>
    <w:rsid w:val="00EB5F6A"/>
    <w:rsid w:val="00EC058E"/>
    <w:rsid w:val="00EC07F1"/>
    <w:rsid w:val="00EC18B1"/>
    <w:rsid w:val="00EC1C7C"/>
    <w:rsid w:val="00EC2129"/>
    <w:rsid w:val="00EC2F31"/>
    <w:rsid w:val="00EC3021"/>
    <w:rsid w:val="00EC39A5"/>
    <w:rsid w:val="00EC5CBC"/>
    <w:rsid w:val="00ED072C"/>
    <w:rsid w:val="00ED0AB8"/>
    <w:rsid w:val="00ED137E"/>
    <w:rsid w:val="00ED17C7"/>
    <w:rsid w:val="00ED239F"/>
    <w:rsid w:val="00ED2691"/>
    <w:rsid w:val="00ED384B"/>
    <w:rsid w:val="00ED3A4A"/>
    <w:rsid w:val="00ED3DE0"/>
    <w:rsid w:val="00ED5F79"/>
    <w:rsid w:val="00EE0517"/>
    <w:rsid w:val="00EE2FE2"/>
    <w:rsid w:val="00EE4226"/>
    <w:rsid w:val="00EE4CC0"/>
    <w:rsid w:val="00EE5C5B"/>
    <w:rsid w:val="00EF17F0"/>
    <w:rsid w:val="00EF2329"/>
    <w:rsid w:val="00EF7882"/>
    <w:rsid w:val="00F00B8C"/>
    <w:rsid w:val="00F01EA9"/>
    <w:rsid w:val="00F01F45"/>
    <w:rsid w:val="00F04DD2"/>
    <w:rsid w:val="00F05627"/>
    <w:rsid w:val="00F0630C"/>
    <w:rsid w:val="00F076D8"/>
    <w:rsid w:val="00F0785A"/>
    <w:rsid w:val="00F1153C"/>
    <w:rsid w:val="00F115ED"/>
    <w:rsid w:val="00F11B35"/>
    <w:rsid w:val="00F148EA"/>
    <w:rsid w:val="00F16C10"/>
    <w:rsid w:val="00F2059F"/>
    <w:rsid w:val="00F2211D"/>
    <w:rsid w:val="00F228DC"/>
    <w:rsid w:val="00F23328"/>
    <w:rsid w:val="00F30344"/>
    <w:rsid w:val="00F30648"/>
    <w:rsid w:val="00F30B22"/>
    <w:rsid w:val="00F30B5E"/>
    <w:rsid w:val="00F3108B"/>
    <w:rsid w:val="00F34BDE"/>
    <w:rsid w:val="00F34D0B"/>
    <w:rsid w:val="00F36337"/>
    <w:rsid w:val="00F36C54"/>
    <w:rsid w:val="00F36EEC"/>
    <w:rsid w:val="00F402CE"/>
    <w:rsid w:val="00F427A7"/>
    <w:rsid w:val="00F46DB1"/>
    <w:rsid w:val="00F471AF"/>
    <w:rsid w:val="00F522E4"/>
    <w:rsid w:val="00F52CFB"/>
    <w:rsid w:val="00F55534"/>
    <w:rsid w:val="00F55973"/>
    <w:rsid w:val="00F6202D"/>
    <w:rsid w:val="00F6265A"/>
    <w:rsid w:val="00F6280C"/>
    <w:rsid w:val="00F65445"/>
    <w:rsid w:val="00F67E26"/>
    <w:rsid w:val="00F75868"/>
    <w:rsid w:val="00F7742B"/>
    <w:rsid w:val="00F8022B"/>
    <w:rsid w:val="00F80441"/>
    <w:rsid w:val="00F81CC3"/>
    <w:rsid w:val="00F83446"/>
    <w:rsid w:val="00F84824"/>
    <w:rsid w:val="00F86C82"/>
    <w:rsid w:val="00F9088C"/>
    <w:rsid w:val="00F913C7"/>
    <w:rsid w:val="00F92066"/>
    <w:rsid w:val="00F92328"/>
    <w:rsid w:val="00F934BA"/>
    <w:rsid w:val="00F93D03"/>
    <w:rsid w:val="00F93DA5"/>
    <w:rsid w:val="00F94000"/>
    <w:rsid w:val="00F97B5A"/>
    <w:rsid w:val="00FA2881"/>
    <w:rsid w:val="00FA5A47"/>
    <w:rsid w:val="00FA5EFD"/>
    <w:rsid w:val="00FA76C8"/>
    <w:rsid w:val="00FA7D31"/>
    <w:rsid w:val="00FB161E"/>
    <w:rsid w:val="00FB22F9"/>
    <w:rsid w:val="00FB3539"/>
    <w:rsid w:val="00FB3EDA"/>
    <w:rsid w:val="00FB4096"/>
    <w:rsid w:val="00FB44C2"/>
    <w:rsid w:val="00FB477C"/>
    <w:rsid w:val="00FC1016"/>
    <w:rsid w:val="00FC1BD9"/>
    <w:rsid w:val="00FC1F4B"/>
    <w:rsid w:val="00FC212F"/>
    <w:rsid w:val="00FC2EFA"/>
    <w:rsid w:val="00FC5042"/>
    <w:rsid w:val="00FC50A9"/>
    <w:rsid w:val="00FC5198"/>
    <w:rsid w:val="00FD0761"/>
    <w:rsid w:val="00FD125D"/>
    <w:rsid w:val="00FD1524"/>
    <w:rsid w:val="00FD26E5"/>
    <w:rsid w:val="00FD33D1"/>
    <w:rsid w:val="00FD3D85"/>
    <w:rsid w:val="00FD43A0"/>
    <w:rsid w:val="00FD4728"/>
    <w:rsid w:val="00FD5559"/>
    <w:rsid w:val="00FD59EE"/>
    <w:rsid w:val="00FD64DE"/>
    <w:rsid w:val="00FD681A"/>
    <w:rsid w:val="00FD6FE4"/>
    <w:rsid w:val="00FE2A1C"/>
    <w:rsid w:val="00FE3EF2"/>
    <w:rsid w:val="00FE412B"/>
    <w:rsid w:val="00FE4BEB"/>
    <w:rsid w:val="00FE50D2"/>
    <w:rsid w:val="00FF5C29"/>
    <w:rsid w:val="00FF6B0D"/>
    <w:rsid w:val="00FF6E4D"/>
    <w:rsid w:val="00FF7979"/>
    <w:rsid w:val="01350805"/>
    <w:rsid w:val="018E0F96"/>
    <w:rsid w:val="019861F1"/>
    <w:rsid w:val="01AF25FA"/>
    <w:rsid w:val="01BF268A"/>
    <w:rsid w:val="01C67A1A"/>
    <w:rsid w:val="01CE1708"/>
    <w:rsid w:val="01D83903"/>
    <w:rsid w:val="01D96FD8"/>
    <w:rsid w:val="01EC56D3"/>
    <w:rsid w:val="01F2272B"/>
    <w:rsid w:val="021D7AB4"/>
    <w:rsid w:val="023914F2"/>
    <w:rsid w:val="023B03BC"/>
    <w:rsid w:val="024C4A7B"/>
    <w:rsid w:val="02643DE2"/>
    <w:rsid w:val="02CE28D7"/>
    <w:rsid w:val="02DF49F8"/>
    <w:rsid w:val="030948AB"/>
    <w:rsid w:val="03225C2D"/>
    <w:rsid w:val="032722BA"/>
    <w:rsid w:val="036236B5"/>
    <w:rsid w:val="036F4A11"/>
    <w:rsid w:val="03773072"/>
    <w:rsid w:val="0379580F"/>
    <w:rsid w:val="03796029"/>
    <w:rsid w:val="03813747"/>
    <w:rsid w:val="038A16B4"/>
    <w:rsid w:val="038E09F5"/>
    <w:rsid w:val="03A235E5"/>
    <w:rsid w:val="03C82C0A"/>
    <w:rsid w:val="03CA1974"/>
    <w:rsid w:val="03DB520C"/>
    <w:rsid w:val="03E51F9E"/>
    <w:rsid w:val="03FD7F4A"/>
    <w:rsid w:val="040538E8"/>
    <w:rsid w:val="04116686"/>
    <w:rsid w:val="042F1193"/>
    <w:rsid w:val="04362F5B"/>
    <w:rsid w:val="043F54AB"/>
    <w:rsid w:val="04742BCC"/>
    <w:rsid w:val="047B66DF"/>
    <w:rsid w:val="048979E7"/>
    <w:rsid w:val="04AF6D09"/>
    <w:rsid w:val="04C01E2E"/>
    <w:rsid w:val="04D36AFD"/>
    <w:rsid w:val="05045B25"/>
    <w:rsid w:val="051C16C5"/>
    <w:rsid w:val="05404272"/>
    <w:rsid w:val="05466DC4"/>
    <w:rsid w:val="054A46AC"/>
    <w:rsid w:val="055D1B9D"/>
    <w:rsid w:val="057A6940"/>
    <w:rsid w:val="057F702B"/>
    <w:rsid w:val="05AB3A8C"/>
    <w:rsid w:val="05B81E53"/>
    <w:rsid w:val="05D60238"/>
    <w:rsid w:val="05FF7058"/>
    <w:rsid w:val="062B52F5"/>
    <w:rsid w:val="06310BF5"/>
    <w:rsid w:val="066258EE"/>
    <w:rsid w:val="0667466D"/>
    <w:rsid w:val="066C4926"/>
    <w:rsid w:val="06915840"/>
    <w:rsid w:val="06F34EC6"/>
    <w:rsid w:val="070A1BC2"/>
    <w:rsid w:val="071815F8"/>
    <w:rsid w:val="07252C22"/>
    <w:rsid w:val="073D3ECD"/>
    <w:rsid w:val="074012B1"/>
    <w:rsid w:val="074B58E1"/>
    <w:rsid w:val="07586375"/>
    <w:rsid w:val="07BC5494"/>
    <w:rsid w:val="07C965B1"/>
    <w:rsid w:val="082504C6"/>
    <w:rsid w:val="08264BEB"/>
    <w:rsid w:val="08396C3A"/>
    <w:rsid w:val="085C6EF5"/>
    <w:rsid w:val="08951EEA"/>
    <w:rsid w:val="08AF3267"/>
    <w:rsid w:val="08FB4657"/>
    <w:rsid w:val="09355FCA"/>
    <w:rsid w:val="0951435A"/>
    <w:rsid w:val="095368CD"/>
    <w:rsid w:val="09762F36"/>
    <w:rsid w:val="09877B5E"/>
    <w:rsid w:val="09B8298A"/>
    <w:rsid w:val="09B83788"/>
    <w:rsid w:val="09CC15A4"/>
    <w:rsid w:val="09DF0E71"/>
    <w:rsid w:val="09EA6227"/>
    <w:rsid w:val="09EE54F4"/>
    <w:rsid w:val="09F92170"/>
    <w:rsid w:val="09FD258A"/>
    <w:rsid w:val="0A0C3579"/>
    <w:rsid w:val="0A3E596B"/>
    <w:rsid w:val="0A4C197A"/>
    <w:rsid w:val="0A5366B1"/>
    <w:rsid w:val="0A710674"/>
    <w:rsid w:val="0A770B66"/>
    <w:rsid w:val="0ABE5500"/>
    <w:rsid w:val="0AC26D53"/>
    <w:rsid w:val="0B093FA1"/>
    <w:rsid w:val="0B0B6075"/>
    <w:rsid w:val="0B0E1DEE"/>
    <w:rsid w:val="0B3A1AF2"/>
    <w:rsid w:val="0B454FA8"/>
    <w:rsid w:val="0B5D2A00"/>
    <w:rsid w:val="0B7B2EC7"/>
    <w:rsid w:val="0BA44993"/>
    <w:rsid w:val="0BD062F8"/>
    <w:rsid w:val="0BDC139E"/>
    <w:rsid w:val="0BDE170C"/>
    <w:rsid w:val="0BE4392F"/>
    <w:rsid w:val="0C044F58"/>
    <w:rsid w:val="0C1004AE"/>
    <w:rsid w:val="0C550DB9"/>
    <w:rsid w:val="0C6C38E5"/>
    <w:rsid w:val="0C6C4629"/>
    <w:rsid w:val="0CAB4C2E"/>
    <w:rsid w:val="0CD700D9"/>
    <w:rsid w:val="0CFD6C78"/>
    <w:rsid w:val="0D285584"/>
    <w:rsid w:val="0D286807"/>
    <w:rsid w:val="0D450276"/>
    <w:rsid w:val="0D4B38B2"/>
    <w:rsid w:val="0D637320"/>
    <w:rsid w:val="0D872822"/>
    <w:rsid w:val="0D877BAE"/>
    <w:rsid w:val="0D9D58CF"/>
    <w:rsid w:val="0DB209A7"/>
    <w:rsid w:val="0DC11BA7"/>
    <w:rsid w:val="0DC97A97"/>
    <w:rsid w:val="0DD75BF4"/>
    <w:rsid w:val="0DF7731C"/>
    <w:rsid w:val="0E024492"/>
    <w:rsid w:val="0E140EE9"/>
    <w:rsid w:val="0E23415E"/>
    <w:rsid w:val="0E2802E0"/>
    <w:rsid w:val="0E2B1A26"/>
    <w:rsid w:val="0E302C2C"/>
    <w:rsid w:val="0EA04513"/>
    <w:rsid w:val="0EC03265"/>
    <w:rsid w:val="0EC53104"/>
    <w:rsid w:val="0ECB6074"/>
    <w:rsid w:val="0ED631ED"/>
    <w:rsid w:val="0EDB2A38"/>
    <w:rsid w:val="0EE90E57"/>
    <w:rsid w:val="0F091F33"/>
    <w:rsid w:val="0F1B1D95"/>
    <w:rsid w:val="0F23495E"/>
    <w:rsid w:val="0F314F83"/>
    <w:rsid w:val="0F405814"/>
    <w:rsid w:val="0F4F1621"/>
    <w:rsid w:val="0F536C9E"/>
    <w:rsid w:val="0F7261C8"/>
    <w:rsid w:val="0F9607E8"/>
    <w:rsid w:val="0FAA3026"/>
    <w:rsid w:val="0FCE5E22"/>
    <w:rsid w:val="0FCF3986"/>
    <w:rsid w:val="0FF32FAA"/>
    <w:rsid w:val="10034FD4"/>
    <w:rsid w:val="103417AA"/>
    <w:rsid w:val="103503B2"/>
    <w:rsid w:val="10721C19"/>
    <w:rsid w:val="10912FF3"/>
    <w:rsid w:val="10930E5B"/>
    <w:rsid w:val="10974CDD"/>
    <w:rsid w:val="10A51271"/>
    <w:rsid w:val="10A948C5"/>
    <w:rsid w:val="10AA28DF"/>
    <w:rsid w:val="10AA42FC"/>
    <w:rsid w:val="10B20FAD"/>
    <w:rsid w:val="10DA1896"/>
    <w:rsid w:val="112D7CD8"/>
    <w:rsid w:val="11415280"/>
    <w:rsid w:val="11652D7D"/>
    <w:rsid w:val="11766E03"/>
    <w:rsid w:val="11832CDA"/>
    <w:rsid w:val="1192477B"/>
    <w:rsid w:val="11925569"/>
    <w:rsid w:val="11944026"/>
    <w:rsid w:val="11A173D1"/>
    <w:rsid w:val="11C1276A"/>
    <w:rsid w:val="11C91DA9"/>
    <w:rsid w:val="11F90F56"/>
    <w:rsid w:val="11FB078E"/>
    <w:rsid w:val="120322F9"/>
    <w:rsid w:val="120B1CD6"/>
    <w:rsid w:val="123A7432"/>
    <w:rsid w:val="12466C73"/>
    <w:rsid w:val="12711BAA"/>
    <w:rsid w:val="12AB7856"/>
    <w:rsid w:val="12B12463"/>
    <w:rsid w:val="12BB396F"/>
    <w:rsid w:val="12F82E8A"/>
    <w:rsid w:val="131C7A38"/>
    <w:rsid w:val="13287A76"/>
    <w:rsid w:val="13305E89"/>
    <w:rsid w:val="13467F43"/>
    <w:rsid w:val="134A111A"/>
    <w:rsid w:val="13781A28"/>
    <w:rsid w:val="137D2C52"/>
    <w:rsid w:val="13824DA6"/>
    <w:rsid w:val="139D5AD4"/>
    <w:rsid w:val="13A347AA"/>
    <w:rsid w:val="13BC6332"/>
    <w:rsid w:val="13C16F92"/>
    <w:rsid w:val="13E42321"/>
    <w:rsid w:val="1424545E"/>
    <w:rsid w:val="144111D5"/>
    <w:rsid w:val="1446139C"/>
    <w:rsid w:val="14505636"/>
    <w:rsid w:val="146821E8"/>
    <w:rsid w:val="148A2807"/>
    <w:rsid w:val="14A67D49"/>
    <w:rsid w:val="14DC6EC5"/>
    <w:rsid w:val="151800A9"/>
    <w:rsid w:val="153F521A"/>
    <w:rsid w:val="15416CE0"/>
    <w:rsid w:val="154A4EE3"/>
    <w:rsid w:val="15575ABC"/>
    <w:rsid w:val="15987A59"/>
    <w:rsid w:val="159D5B42"/>
    <w:rsid w:val="15AF1853"/>
    <w:rsid w:val="15B24554"/>
    <w:rsid w:val="15DC6A4E"/>
    <w:rsid w:val="15E31D76"/>
    <w:rsid w:val="15FD44A5"/>
    <w:rsid w:val="16140F42"/>
    <w:rsid w:val="165F6810"/>
    <w:rsid w:val="16633A48"/>
    <w:rsid w:val="16643D1A"/>
    <w:rsid w:val="16A56BDA"/>
    <w:rsid w:val="16C164E2"/>
    <w:rsid w:val="16CC7B98"/>
    <w:rsid w:val="16D72DD1"/>
    <w:rsid w:val="17225774"/>
    <w:rsid w:val="173062FA"/>
    <w:rsid w:val="174A3E8E"/>
    <w:rsid w:val="17560340"/>
    <w:rsid w:val="17614F86"/>
    <w:rsid w:val="177411D7"/>
    <w:rsid w:val="177B3010"/>
    <w:rsid w:val="17AC429F"/>
    <w:rsid w:val="17B96FB9"/>
    <w:rsid w:val="17F45A3D"/>
    <w:rsid w:val="180D189E"/>
    <w:rsid w:val="180D191C"/>
    <w:rsid w:val="18141101"/>
    <w:rsid w:val="18200F33"/>
    <w:rsid w:val="183757CA"/>
    <w:rsid w:val="184074B7"/>
    <w:rsid w:val="18482F20"/>
    <w:rsid w:val="186057C3"/>
    <w:rsid w:val="1873299E"/>
    <w:rsid w:val="18811052"/>
    <w:rsid w:val="188F72EC"/>
    <w:rsid w:val="189A1A04"/>
    <w:rsid w:val="189A2691"/>
    <w:rsid w:val="18E30DB2"/>
    <w:rsid w:val="18F9452E"/>
    <w:rsid w:val="18FB2BF5"/>
    <w:rsid w:val="1912167F"/>
    <w:rsid w:val="191A402A"/>
    <w:rsid w:val="194A042E"/>
    <w:rsid w:val="195A0C2D"/>
    <w:rsid w:val="196655E6"/>
    <w:rsid w:val="196D6847"/>
    <w:rsid w:val="19977EEC"/>
    <w:rsid w:val="19983BF6"/>
    <w:rsid w:val="19C90BE2"/>
    <w:rsid w:val="19E50E43"/>
    <w:rsid w:val="19FA5023"/>
    <w:rsid w:val="1A2838DE"/>
    <w:rsid w:val="1A614A53"/>
    <w:rsid w:val="1A6907DF"/>
    <w:rsid w:val="1A6A5BAF"/>
    <w:rsid w:val="1A8A4F4E"/>
    <w:rsid w:val="1A8F188E"/>
    <w:rsid w:val="1AA63055"/>
    <w:rsid w:val="1AC35A98"/>
    <w:rsid w:val="1AD62220"/>
    <w:rsid w:val="1AE42A21"/>
    <w:rsid w:val="1AED511A"/>
    <w:rsid w:val="1AFB7F6A"/>
    <w:rsid w:val="1B29652A"/>
    <w:rsid w:val="1B3C4D67"/>
    <w:rsid w:val="1B433762"/>
    <w:rsid w:val="1B7255AB"/>
    <w:rsid w:val="1B8D49E1"/>
    <w:rsid w:val="1B9A5507"/>
    <w:rsid w:val="1BEA0A48"/>
    <w:rsid w:val="1BEC3FF4"/>
    <w:rsid w:val="1BF04273"/>
    <w:rsid w:val="1BFF46F2"/>
    <w:rsid w:val="1C0505F2"/>
    <w:rsid w:val="1C097FB6"/>
    <w:rsid w:val="1C135614"/>
    <w:rsid w:val="1C5A1787"/>
    <w:rsid w:val="1C795DE9"/>
    <w:rsid w:val="1C8D4A3B"/>
    <w:rsid w:val="1C9E76BC"/>
    <w:rsid w:val="1CB57931"/>
    <w:rsid w:val="1CB91285"/>
    <w:rsid w:val="1CBD7870"/>
    <w:rsid w:val="1CBE2920"/>
    <w:rsid w:val="1D08491B"/>
    <w:rsid w:val="1D0B7BBC"/>
    <w:rsid w:val="1D0C3F50"/>
    <w:rsid w:val="1D8D10B8"/>
    <w:rsid w:val="1D8E514D"/>
    <w:rsid w:val="1DBD7A58"/>
    <w:rsid w:val="1DCE210D"/>
    <w:rsid w:val="1DF14758"/>
    <w:rsid w:val="1DF25AC2"/>
    <w:rsid w:val="1E1A772A"/>
    <w:rsid w:val="1E327171"/>
    <w:rsid w:val="1E347A3B"/>
    <w:rsid w:val="1E470113"/>
    <w:rsid w:val="1E4D77B6"/>
    <w:rsid w:val="1E794F94"/>
    <w:rsid w:val="1E7F1F4A"/>
    <w:rsid w:val="1EA5406E"/>
    <w:rsid w:val="1EA939DD"/>
    <w:rsid w:val="1EDC1559"/>
    <w:rsid w:val="1EDF291D"/>
    <w:rsid w:val="1EF25182"/>
    <w:rsid w:val="1EFA1F5C"/>
    <w:rsid w:val="1F032C7E"/>
    <w:rsid w:val="1F161887"/>
    <w:rsid w:val="1FA868F5"/>
    <w:rsid w:val="1FE15869"/>
    <w:rsid w:val="1FE71CC9"/>
    <w:rsid w:val="1FF141F3"/>
    <w:rsid w:val="1FFC3899"/>
    <w:rsid w:val="1FFD62D1"/>
    <w:rsid w:val="200C77AB"/>
    <w:rsid w:val="20193A24"/>
    <w:rsid w:val="202E5696"/>
    <w:rsid w:val="205B17E4"/>
    <w:rsid w:val="205D5989"/>
    <w:rsid w:val="206D005C"/>
    <w:rsid w:val="20992C7C"/>
    <w:rsid w:val="209B0C99"/>
    <w:rsid w:val="20A224A3"/>
    <w:rsid w:val="20B064E2"/>
    <w:rsid w:val="20ED016D"/>
    <w:rsid w:val="211930FA"/>
    <w:rsid w:val="21361FAB"/>
    <w:rsid w:val="21427FB9"/>
    <w:rsid w:val="215951BB"/>
    <w:rsid w:val="21756ECA"/>
    <w:rsid w:val="218D26B6"/>
    <w:rsid w:val="21A812DD"/>
    <w:rsid w:val="21BE2EB0"/>
    <w:rsid w:val="21C214D8"/>
    <w:rsid w:val="21C62851"/>
    <w:rsid w:val="21CB42EE"/>
    <w:rsid w:val="22104200"/>
    <w:rsid w:val="222B4618"/>
    <w:rsid w:val="227974B4"/>
    <w:rsid w:val="229D15A2"/>
    <w:rsid w:val="229D5808"/>
    <w:rsid w:val="22B329FC"/>
    <w:rsid w:val="22B86588"/>
    <w:rsid w:val="22FD277D"/>
    <w:rsid w:val="23057762"/>
    <w:rsid w:val="23154FA3"/>
    <w:rsid w:val="23234528"/>
    <w:rsid w:val="23334548"/>
    <w:rsid w:val="234B5604"/>
    <w:rsid w:val="23533553"/>
    <w:rsid w:val="236537B6"/>
    <w:rsid w:val="23697F9B"/>
    <w:rsid w:val="2390024F"/>
    <w:rsid w:val="23BC0679"/>
    <w:rsid w:val="23C83FB2"/>
    <w:rsid w:val="23CE3EB4"/>
    <w:rsid w:val="23D60E1F"/>
    <w:rsid w:val="23EF2B35"/>
    <w:rsid w:val="24005F7D"/>
    <w:rsid w:val="240952B8"/>
    <w:rsid w:val="240E1B10"/>
    <w:rsid w:val="24256486"/>
    <w:rsid w:val="243C29A5"/>
    <w:rsid w:val="246A1C4E"/>
    <w:rsid w:val="246C6E2E"/>
    <w:rsid w:val="247F0EEF"/>
    <w:rsid w:val="248629EA"/>
    <w:rsid w:val="24BB6791"/>
    <w:rsid w:val="24E64030"/>
    <w:rsid w:val="24ED6700"/>
    <w:rsid w:val="24FD7F2A"/>
    <w:rsid w:val="252929BB"/>
    <w:rsid w:val="254B61E7"/>
    <w:rsid w:val="2552158A"/>
    <w:rsid w:val="255253EA"/>
    <w:rsid w:val="25865CAF"/>
    <w:rsid w:val="259C4AD1"/>
    <w:rsid w:val="25DB6987"/>
    <w:rsid w:val="26053C7E"/>
    <w:rsid w:val="263749E9"/>
    <w:rsid w:val="265F5C5C"/>
    <w:rsid w:val="268354D6"/>
    <w:rsid w:val="268E213C"/>
    <w:rsid w:val="268E789A"/>
    <w:rsid w:val="26C86C1E"/>
    <w:rsid w:val="26EC4731"/>
    <w:rsid w:val="26EF32C6"/>
    <w:rsid w:val="27040AD1"/>
    <w:rsid w:val="27174F02"/>
    <w:rsid w:val="271D2D8B"/>
    <w:rsid w:val="2761330E"/>
    <w:rsid w:val="277D7B8A"/>
    <w:rsid w:val="277E4684"/>
    <w:rsid w:val="279116F3"/>
    <w:rsid w:val="27F94B62"/>
    <w:rsid w:val="282B2F8E"/>
    <w:rsid w:val="285B4C93"/>
    <w:rsid w:val="28B6293D"/>
    <w:rsid w:val="28CD6E4C"/>
    <w:rsid w:val="28D66B79"/>
    <w:rsid w:val="28FF4CCF"/>
    <w:rsid w:val="29094C0C"/>
    <w:rsid w:val="2910189E"/>
    <w:rsid w:val="2913769F"/>
    <w:rsid w:val="29217FFE"/>
    <w:rsid w:val="292B707A"/>
    <w:rsid w:val="29334021"/>
    <w:rsid w:val="29464DF0"/>
    <w:rsid w:val="2953195A"/>
    <w:rsid w:val="298E4E79"/>
    <w:rsid w:val="29A60F44"/>
    <w:rsid w:val="29B03914"/>
    <w:rsid w:val="29B71317"/>
    <w:rsid w:val="29EE57AF"/>
    <w:rsid w:val="2A011E02"/>
    <w:rsid w:val="2A377FF8"/>
    <w:rsid w:val="2A4009A8"/>
    <w:rsid w:val="2A700A57"/>
    <w:rsid w:val="2A7F77CA"/>
    <w:rsid w:val="2A9F4709"/>
    <w:rsid w:val="2AAF6247"/>
    <w:rsid w:val="2AC53CD5"/>
    <w:rsid w:val="2ADF5273"/>
    <w:rsid w:val="2AEE3D54"/>
    <w:rsid w:val="2B264C4B"/>
    <w:rsid w:val="2B396EA0"/>
    <w:rsid w:val="2B470D97"/>
    <w:rsid w:val="2B4C2910"/>
    <w:rsid w:val="2B51647C"/>
    <w:rsid w:val="2B581B33"/>
    <w:rsid w:val="2B8171F9"/>
    <w:rsid w:val="2B9933F4"/>
    <w:rsid w:val="2C022A94"/>
    <w:rsid w:val="2C036A5C"/>
    <w:rsid w:val="2C103605"/>
    <w:rsid w:val="2C602DDC"/>
    <w:rsid w:val="2C9458FD"/>
    <w:rsid w:val="2C973F6A"/>
    <w:rsid w:val="2CA22C6D"/>
    <w:rsid w:val="2CA461B7"/>
    <w:rsid w:val="2CDA4588"/>
    <w:rsid w:val="2CE56E48"/>
    <w:rsid w:val="2CE669EF"/>
    <w:rsid w:val="2CFF47BB"/>
    <w:rsid w:val="2D136799"/>
    <w:rsid w:val="2D3628F3"/>
    <w:rsid w:val="2D65358C"/>
    <w:rsid w:val="2D6A68C1"/>
    <w:rsid w:val="2D7D66DD"/>
    <w:rsid w:val="2DCD3A27"/>
    <w:rsid w:val="2DE82479"/>
    <w:rsid w:val="2E6F5A60"/>
    <w:rsid w:val="2EE3783F"/>
    <w:rsid w:val="2EEF78AB"/>
    <w:rsid w:val="2F017BDE"/>
    <w:rsid w:val="2F0B1152"/>
    <w:rsid w:val="2F220E07"/>
    <w:rsid w:val="2F3506B0"/>
    <w:rsid w:val="2F53665D"/>
    <w:rsid w:val="2F54361F"/>
    <w:rsid w:val="2F5F7DE9"/>
    <w:rsid w:val="2F6E2AEE"/>
    <w:rsid w:val="2F7F0963"/>
    <w:rsid w:val="2F981D20"/>
    <w:rsid w:val="2F9F5ED5"/>
    <w:rsid w:val="2FA15E2B"/>
    <w:rsid w:val="2FAE0E67"/>
    <w:rsid w:val="2FD24979"/>
    <w:rsid w:val="2FDD5F4E"/>
    <w:rsid w:val="2FDE2185"/>
    <w:rsid w:val="30201795"/>
    <w:rsid w:val="30521A52"/>
    <w:rsid w:val="305E3226"/>
    <w:rsid w:val="306A0E98"/>
    <w:rsid w:val="306C2A8C"/>
    <w:rsid w:val="308A655D"/>
    <w:rsid w:val="30A06EB6"/>
    <w:rsid w:val="30A6191A"/>
    <w:rsid w:val="30B46B1D"/>
    <w:rsid w:val="30C27F0D"/>
    <w:rsid w:val="30E332A6"/>
    <w:rsid w:val="310647DC"/>
    <w:rsid w:val="310740C9"/>
    <w:rsid w:val="3119033D"/>
    <w:rsid w:val="31305C0A"/>
    <w:rsid w:val="313643A0"/>
    <w:rsid w:val="313C6D1C"/>
    <w:rsid w:val="3145746D"/>
    <w:rsid w:val="31754A2C"/>
    <w:rsid w:val="31865004"/>
    <w:rsid w:val="318C74E8"/>
    <w:rsid w:val="321633CE"/>
    <w:rsid w:val="32223B88"/>
    <w:rsid w:val="323E0815"/>
    <w:rsid w:val="323E6499"/>
    <w:rsid w:val="325C1595"/>
    <w:rsid w:val="326C64E9"/>
    <w:rsid w:val="32B878FB"/>
    <w:rsid w:val="32BB1834"/>
    <w:rsid w:val="32DE6ACD"/>
    <w:rsid w:val="33086322"/>
    <w:rsid w:val="3344199C"/>
    <w:rsid w:val="33531C91"/>
    <w:rsid w:val="336055FF"/>
    <w:rsid w:val="336E0533"/>
    <w:rsid w:val="337A4F6F"/>
    <w:rsid w:val="337C5883"/>
    <w:rsid w:val="33925BC4"/>
    <w:rsid w:val="339E56AA"/>
    <w:rsid w:val="33B50E84"/>
    <w:rsid w:val="33B57CB1"/>
    <w:rsid w:val="3409662F"/>
    <w:rsid w:val="340A0E99"/>
    <w:rsid w:val="34136C5A"/>
    <w:rsid w:val="341D5739"/>
    <w:rsid w:val="343222B6"/>
    <w:rsid w:val="343F403B"/>
    <w:rsid w:val="344E4BCD"/>
    <w:rsid w:val="345E39EA"/>
    <w:rsid w:val="34654BB8"/>
    <w:rsid w:val="347D7BE8"/>
    <w:rsid w:val="349B00DA"/>
    <w:rsid w:val="34A87726"/>
    <w:rsid w:val="34AF2352"/>
    <w:rsid w:val="34B13697"/>
    <w:rsid w:val="34B47E69"/>
    <w:rsid w:val="34C30B78"/>
    <w:rsid w:val="34C62FEB"/>
    <w:rsid w:val="350310E8"/>
    <w:rsid w:val="350E7AC3"/>
    <w:rsid w:val="351637DF"/>
    <w:rsid w:val="35431810"/>
    <w:rsid w:val="35484237"/>
    <w:rsid w:val="356B5F02"/>
    <w:rsid w:val="358A5F58"/>
    <w:rsid w:val="35DD7617"/>
    <w:rsid w:val="35E179B1"/>
    <w:rsid w:val="35FF4094"/>
    <w:rsid w:val="361B549F"/>
    <w:rsid w:val="36443D94"/>
    <w:rsid w:val="36531714"/>
    <w:rsid w:val="36723392"/>
    <w:rsid w:val="36734842"/>
    <w:rsid w:val="36805228"/>
    <w:rsid w:val="368378E4"/>
    <w:rsid w:val="368732CC"/>
    <w:rsid w:val="36A100C1"/>
    <w:rsid w:val="36AC4148"/>
    <w:rsid w:val="36AD340B"/>
    <w:rsid w:val="36D33B29"/>
    <w:rsid w:val="36D3701E"/>
    <w:rsid w:val="36EA33A6"/>
    <w:rsid w:val="36F75086"/>
    <w:rsid w:val="37015B4D"/>
    <w:rsid w:val="37027499"/>
    <w:rsid w:val="371816FD"/>
    <w:rsid w:val="3718789A"/>
    <w:rsid w:val="374E19BB"/>
    <w:rsid w:val="375B569E"/>
    <w:rsid w:val="37651585"/>
    <w:rsid w:val="37811887"/>
    <w:rsid w:val="37AF035A"/>
    <w:rsid w:val="37B24A82"/>
    <w:rsid w:val="37B33A46"/>
    <w:rsid w:val="37CC1BF5"/>
    <w:rsid w:val="37D15D6E"/>
    <w:rsid w:val="380F11E3"/>
    <w:rsid w:val="38425FE9"/>
    <w:rsid w:val="38440832"/>
    <w:rsid w:val="38733038"/>
    <w:rsid w:val="38CC3CAB"/>
    <w:rsid w:val="38D50E6E"/>
    <w:rsid w:val="38ED3FD1"/>
    <w:rsid w:val="38FA6248"/>
    <w:rsid w:val="39067B0E"/>
    <w:rsid w:val="3931571C"/>
    <w:rsid w:val="396B3505"/>
    <w:rsid w:val="398E731A"/>
    <w:rsid w:val="39901C63"/>
    <w:rsid w:val="39D8211A"/>
    <w:rsid w:val="39D84ABD"/>
    <w:rsid w:val="3A0D796F"/>
    <w:rsid w:val="3A2E26B1"/>
    <w:rsid w:val="3A4D6D2E"/>
    <w:rsid w:val="3A5D0029"/>
    <w:rsid w:val="3A6B5565"/>
    <w:rsid w:val="3A705E60"/>
    <w:rsid w:val="3A7E2F7A"/>
    <w:rsid w:val="3A9263CC"/>
    <w:rsid w:val="3AF52CB2"/>
    <w:rsid w:val="3B03041E"/>
    <w:rsid w:val="3B0543CE"/>
    <w:rsid w:val="3B373D42"/>
    <w:rsid w:val="3B57547C"/>
    <w:rsid w:val="3B6065BD"/>
    <w:rsid w:val="3B7D0D1F"/>
    <w:rsid w:val="3C402A88"/>
    <w:rsid w:val="3C607CD9"/>
    <w:rsid w:val="3C6337D1"/>
    <w:rsid w:val="3C842507"/>
    <w:rsid w:val="3C8F38AB"/>
    <w:rsid w:val="3CA47132"/>
    <w:rsid w:val="3CAF6BDD"/>
    <w:rsid w:val="3CB854FD"/>
    <w:rsid w:val="3D053699"/>
    <w:rsid w:val="3D1A4044"/>
    <w:rsid w:val="3D2136D6"/>
    <w:rsid w:val="3D4B6238"/>
    <w:rsid w:val="3D5F3D76"/>
    <w:rsid w:val="3D8F623D"/>
    <w:rsid w:val="3D9251DC"/>
    <w:rsid w:val="3DB4102C"/>
    <w:rsid w:val="3DBC45C2"/>
    <w:rsid w:val="3DBD6AED"/>
    <w:rsid w:val="3DCE2CCF"/>
    <w:rsid w:val="3DF50C37"/>
    <w:rsid w:val="3DFF1AD2"/>
    <w:rsid w:val="3E305B58"/>
    <w:rsid w:val="3E4B62FB"/>
    <w:rsid w:val="3E6B2117"/>
    <w:rsid w:val="3E7F2231"/>
    <w:rsid w:val="3E8B5011"/>
    <w:rsid w:val="3E8E177D"/>
    <w:rsid w:val="3EE647CB"/>
    <w:rsid w:val="3F04213D"/>
    <w:rsid w:val="3F0C3CBD"/>
    <w:rsid w:val="3F116916"/>
    <w:rsid w:val="3F313ECE"/>
    <w:rsid w:val="3F5F6AE2"/>
    <w:rsid w:val="3F917C3E"/>
    <w:rsid w:val="3FAB2184"/>
    <w:rsid w:val="3FB0410B"/>
    <w:rsid w:val="3FE02643"/>
    <w:rsid w:val="40152CA1"/>
    <w:rsid w:val="4017722B"/>
    <w:rsid w:val="402C20C0"/>
    <w:rsid w:val="40344466"/>
    <w:rsid w:val="406223C3"/>
    <w:rsid w:val="406A04A6"/>
    <w:rsid w:val="406A6185"/>
    <w:rsid w:val="407B4AA2"/>
    <w:rsid w:val="4087277D"/>
    <w:rsid w:val="40912F06"/>
    <w:rsid w:val="40D5277E"/>
    <w:rsid w:val="40DA785C"/>
    <w:rsid w:val="40F25353"/>
    <w:rsid w:val="40FC4337"/>
    <w:rsid w:val="40FE2C69"/>
    <w:rsid w:val="410E47BB"/>
    <w:rsid w:val="412C71FD"/>
    <w:rsid w:val="41606386"/>
    <w:rsid w:val="417330B0"/>
    <w:rsid w:val="417E300F"/>
    <w:rsid w:val="41E01C02"/>
    <w:rsid w:val="41F22EAF"/>
    <w:rsid w:val="41F57E45"/>
    <w:rsid w:val="420409A0"/>
    <w:rsid w:val="420C01F8"/>
    <w:rsid w:val="422B6E83"/>
    <w:rsid w:val="42AB6598"/>
    <w:rsid w:val="42C12CCB"/>
    <w:rsid w:val="42FB401E"/>
    <w:rsid w:val="431005A1"/>
    <w:rsid w:val="433E56EF"/>
    <w:rsid w:val="436C7A3C"/>
    <w:rsid w:val="438F0795"/>
    <w:rsid w:val="43905514"/>
    <w:rsid w:val="43A47D3A"/>
    <w:rsid w:val="43A9744D"/>
    <w:rsid w:val="43B65E24"/>
    <w:rsid w:val="43B9570D"/>
    <w:rsid w:val="43BF3DF4"/>
    <w:rsid w:val="43F84A6F"/>
    <w:rsid w:val="44205390"/>
    <w:rsid w:val="443166A6"/>
    <w:rsid w:val="44393B73"/>
    <w:rsid w:val="44604F85"/>
    <w:rsid w:val="449F6A60"/>
    <w:rsid w:val="44B95716"/>
    <w:rsid w:val="44C51848"/>
    <w:rsid w:val="44D94BB6"/>
    <w:rsid w:val="44E827B9"/>
    <w:rsid w:val="45074894"/>
    <w:rsid w:val="450C42D0"/>
    <w:rsid w:val="458C39BD"/>
    <w:rsid w:val="45AF6955"/>
    <w:rsid w:val="45B437FA"/>
    <w:rsid w:val="45C52988"/>
    <w:rsid w:val="45D24758"/>
    <w:rsid w:val="45ED1AB9"/>
    <w:rsid w:val="45F062E5"/>
    <w:rsid w:val="4607271A"/>
    <w:rsid w:val="460D0224"/>
    <w:rsid w:val="463B36E0"/>
    <w:rsid w:val="46402888"/>
    <w:rsid w:val="466A78D9"/>
    <w:rsid w:val="467D20CD"/>
    <w:rsid w:val="468E0C6B"/>
    <w:rsid w:val="469F250A"/>
    <w:rsid w:val="46AD3151"/>
    <w:rsid w:val="46C27057"/>
    <w:rsid w:val="46C429F8"/>
    <w:rsid w:val="46DE01B0"/>
    <w:rsid w:val="46E456A3"/>
    <w:rsid w:val="46EE5E9E"/>
    <w:rsid w:val="471446E0"/>
    <w:rsid w:val="471910F2"/>
    <w:rsid w:val="47306C84"/>
    <w:rsid w:val="473826E0"/>
    <w:rsid w:val="473D6B83"/>
    <w:rsid w:val="47451236"/>
    <w:rsid w:val="476B0D62"/>
    <w:rsid w:val="477A0DB5"/>
    <w:rsid w:val="47B363C9"/>
    <w:rsid w:val="47E701C3"/>
    <w:rsid w:val="47FE4C22"/>
    <w:rsid w:val="481C101B"/>
    <w:rsid w:val="48215B4E"/>
    <w:rsid w:val="48335BAF"/>
    <w:rsid w:val="48337CBD"/>
    <w:rsid w:val="484A3489"/>
    <w:rsid w:val="487A567B"/>
    <w:rsid w:val="48884461"/>
    <w:rsid w:val="48931EC0"/>
    <w:rsid w:val="48AD086C"/>
    <w:rsid w:val="48EA6975"/>
    <w:rsid w:val="4920034E"/>
    <w:rsid w:val="492434F5"/>
    <w:rsid w:val="49532AC2"/>
    <w:rsid w:val="49542958"/>
    <w:rsid w:val="4986005C"/>
    <w:rsid w:val="498B6B08"/>
    <w:rsid w:val="498D49F5"/>
    <w:rsid w:val="49975915"/>
    <w:rsid w:val="49B4378A"/>
    <w:rsid w:val="49D70789"/>
    <w:rsid w:val="49F3246F"/>
    <w:rsid w:val="4A227E96"/>
    <w:rsid w:val="4A3368B5"/>
    <w:rsid w:val="4A376F4E"/>
    <w:rsid w:val="4A5133B7"/>
    <w:rsid w:val="4A6F7714"/>
    <w:rsid w:val="4A903E92"/>
    <w:rsid w:val="4A911CD7"/>
    <w:rsid w:val="4AA575E0"/>
    <w:rsid w:val="4AB81BB3"/>
    <w:rsid w:val="4AD754C8"/>
    <w:rsid w:val="4ADA5754"/>
    <w:rsid w:val="4ADD0B91"/>
    <w:rsid w:val="4ADF4682"/>
    <w:rsid w:val="4B0E7D4C"/>
    <w:rsid w:val="4B2403B5"/>
    <w:rsid w:val="4B293348"/>
    <w:rsid w:val="4B2F72DC"/>
    <w:rsid w:val="4B4A7BA2"/>
    <w:rsid w:val="4B590F7A"/>
    <w:rsid w:val="4B5B2678"/>
    <w:rsid w:val="4B601DD8"/>
    <w:rsid w:val="4B732850"/>
    <w:rsid w:val="4B842228"/>
    <w:rsid w:val="4B897F85"/>
    <w:rsid w:val="4BB4534D"/>
    <w:rsid w:val="4BCE097E"/>
    <w:rsid w:val="4BEC774F"/>
    <w:rsid w:val="4BEF3FE1"/>
    <w:rsid w:val="4C0712F8"/>
    <w:rsid w:val="4C167A70"/>
    <w:rsid w:val="4C3F4BB9"/>
    <w:rsid w:val="4C431F77"/>
    <w:rsid w:val="4C6938BD"/>
    <w:rsid w:val="4C811FFA"/>
    <w:rsid w:val="4C8331CC"/>
    <w:rsid w:val="4C902905"/>
    <w:rsid w:val="4C9B7249"/>
    <w:rsid w:val="4CAD0A5B"/>
    <w:rsid w:val="4CB0376C"/>
    <w:rsid w:val="4CC670FC"/>
    <w:rsid w:val="4CD768EA"/>
    <w:rsid w:val="4CE14CCC"/>
    <w:rsid w:val="4CE94D33"/>
    <w:rsid w:val="4CEC3AED"/>
    <w:rsid w:val="4CF124DF"/>
    <w:rsid w:val="4D077600"/>
    <w:rsid w:val="4D18162E"/>
    <w:rsid w:val="4D2264E9"/>
    <w:rsid w:val="4D3D41E2"/>
    <w:rsid w:val="4D626AC1"/>
    <w:rsid w:val="4D726484"/>
    <w:rsid w:val="4D893EB8"/>
    <w:rsid w:val="4DAD7BF7"/>
    <w:rsid w:val="4DCF3335"/>
    <w:rsid w:val="4DEC023B"/>
    <w:rsid w:val="4DF740BD"/>
    <w:rsid w:val="4E2668E5"/>
    <w:rsid w:val="4E426097"/>
    <w:rsid w:val="4E50041A"/>
    <w:rsid w:val="4E536418"/>
    <w:rsid w:val="4E724112"/>
    <w:rsid w:val="4E8C6670"/>
    <w:rsid w:val="4E9972E9"/>
    <w:rsid w:val="4EA00FD6"/>
    <w:rsid w:val="4EC81362"/>
    <w:rsid w:val="4ECD7730"/>
    <w:rsid w:val="4ED302F5"/>
    <w:rsid w:val="4ED33DB4"/>
    <w:rsid w:val="4EEB4427"/>
    <w:rsid w:val="4EFF2DDD"/>
    <w:rsid w:val="4F3321FF"/>
    <w:rsid w:val="4F430C40"/>
    <w:rsid w:val="4F843CBC"/>
    <w:rsid w:val="4F960DF6"/>
    <w:rsid w:val="4FF26833"/>
    <w:rsid w:val="502541C6"/>
    <w:rsid w:val="506B2203"/>
    <w:rsid w:val="506B705A"/>
    <w:rsid w:val="506F7035"/>
    <w:rsid w:val="50845DFB"/>
    <w:rsid w:val="50BD1E84"/>
    <w:rsid w:val="50C751DC"/>
    <w:rsid w:val="50CC28C8"/>
    <w:rsid w:val="50D74091"/>
    <w:rsid w:val="50DF0622"/>
    <w:rsid w:val="51045AAE"/>
    <w:rsid w:val="510C5CDB"/>
    <w:rsid w:val="511A63EC"/>
    <w:rsid w:val="512457F1"/>
    <w:rsid w:val="515D53DC"/>
    <w:rsid w:val="516F7727"/>
    <w:rsid w:val="5170532E"/>
    <w:rsid w:val="51986317"/>
    <w:rsid w:val="51C6343D"/>
    <w:rsid w:val="51DB3145"/>
    <w:rsid w:val="51E25DD4"/>
    <w:rsid w:val="51F516BB"/>
    <w:rsid w:val="51FD35ED"/>
    <w:rsid w:val="520B16D3"/>
    <w:rsid w:val="52115519"/>
    <w:rsid w:val="52274C5C"/>
    <w:rsid w:val="523F27F0"/>
    <w:rsid w:val="52483A45"/>
    <w:rsid w:val="52556619"/>
    <w:rsid w:val="52777A6E"/>
    <w:rsid w:val="5282647D"/>
    <w:rsid w:val="52A300BE"/>
    <w:rsid w:val="52BA0BDC"/>
    <w:rsid w:val="52C45A43"/>
    <w:rsid w:val="52E76A71"/>
    <w:rsid w:val="53026DFD"/>
    <w:rsid w:val="531B5338"/>
    <w:rsid w:val="533D2C86"/>
    <w:rsid w:val="53453D1B"/>
    <w:rsid w:val="5394758D"/>
    <w:rsid w:val="53981B03"/>
    <w:rsid w:val="53A85FCA"/>
    <w:rsid w:val="53C01A47"/>
    <w:rsid w:val="53DD1DFE"/>
    <w:rsid w:val="53E102FD"/>
    <w:rsid w:val="53E24143"/>
    <w:rsid w:val="541A0BBD"/>
    <w:rsid w:val="542C69BD"/>
    <w:rsid w:val="54515140"/>
    <w:rsid w:val="545B55F6"/>
    <w:rsid w:val="545F6F49"/>
    <w:rsid w:val="54A83AFF"/>
    <w:rsid w:val="54AA008C"/>
    <w:rsid w:val="54BB2994"/>
    <w:rsid w:val="54CF5265"/>
    <w:rsid w:val="54DE2235"/>
    <w:rsid w:val="55215EB7"/>
    <w:rsid w:val="554B79AF"/>
    <w:rsid w:val="55C42FFD"/>
    <w:rsid w:val="55DA7C4A"/>
    <w:rsid w:val="55DD7682"/>
    <w:rsid w:val="560D3EFD"/>
    <w:rsid w:val="56215479"/>
    <w:rsid w:val="56311B12"/>
    <w:rsid w:val="563C733F"/>
    <w:rsid w:val="56461E5C"/>
    <w:rsid w:val="56560378"/>
    <w:rsid w:val="569A1980"/>
    <w:rsid w:val="56C943CC"/>
    <w:rsid w:val="56E85F0A"/>
    <w:rsid w:val="57027580"/>
    <w:rsid w:val="574E097E"/>
    <w:rsid w:val="578046BC"/>
    <w:rsid w:val="578737B0"/>
    <w:rsid w:val="57A131CA"/>
    <w:rsid w:val="57BD0944"/>
    <w:rsid w:val="57C307A0"/>
    <w:rsid w:val="57DB3ACF"/>
    <w:rsid w:val="58070221"/>
    <w:rsid w:val="580D7995"/>
    <w:rsid w:val="580F1CCE"/>
    <w:rsid w:val="583F4B96"/>
    <w:rsid w:val="5857694E"/>
    <w:rsid w:val="58670C7C"/>
    <w:rsid w:val="586F2E95"/>
    <w:rsid w:val="589849FB"/>
    <w:rsid w:val="58995EEC"/>
    <w:rsid w:val="58A77EE4"/>
    <w:rsid w:val="58B707B9"/>
    <w:rsid w:val="58D4403E"/>
    <w:rsid w:val="58F452B5"/>
    <w:rsid w:val="591C1BA1"/>
    <w:rsid w:val="59275356"/>
    <w:rsid w:val="592C196B"/>
    <w:rsid w:val="593545E0"/>
    <w:rsid w:val="594078DC"/>
    <w:rsid w:val="59570C4E"/>
    <w:rsid w:val="596269C4"/>
    <w:rsid w:val="59660E33"/>
    <w:rsid w:val="596A7B28"/>
    <w:rsid w:val="597613AF"/>
    <w:rsid w:val="599A2146"/>
    <w:rsid w:val="59C2329F"/>
    <w:rsid w:val="59D13E4E"/>
    <w:rsid w:val="59D835B1"/>
    <w:rsid w:val="59E879D7"/>
    <w:rsid w:val="59F34AA9"/>
    <w:rsid w:val="5A025F95"/>
    <w:rsid w:val="5A08399B"/>
    <w:rsid w:val="5A154534"/>
    <w:rsid w:val="5A3F12BA"/>
    <w:rsid w:val="5A3F70A8"/>
    <w:rsid w:val="5A50617A"/>
    <w:rsid w:val="5A714AD6"/>
    <w:rsid w:val="5A7656F0"/>
    <w:rsid w:val="5A934084"/>
    <w:rsid w:val="5AB229FC"/>
    <w:rsid w:val="5AD92099"/>
    <w:rsid w:val="5AE35E4F"/>
    <w:rsid w:val="5B1E011F"/>
    <w:rsid w:val="5B245E02"/>
    <w:rsid w:val="5B283967"/>
    <w:rsid w:val="5B446BBB"/>
    <w:rsid w:val="5B671E30"/>
    <w:rsid w:val="5B7B467E"/>
    <w:rsid w:val="5BC40A02"/>
    <w:rsid w:val="5C3714C2"/>
    <w:rsid w:val="5C451D7F"/>
    <w:rsid w:val="5C512021"/>
    <w:rsid w:val="5C63557B"/>
    <w:rsid w:val="5C646F23"/>
    <w:rsid w:val="5C725C1F"/>
    <w:rsid w:val="5C7B09B5"/>
    <w:rsid w:val="5C862655"/>
    <w:rsid w:val="5C872AE8"/>
    <w:rsid w:val="5C894BDB"/>
    <w:rsid w:val="5CD32958"/>
    <w:rsid w:val="5CFC7A14"/>
    <w:rsid w:val="5D186E16"/>
    <w:rsid w:val="5D244F83"/>
    <w:rsid w:val="5D2C6F2D"/>
    <w:rsid w:val="5D356ABC"/>
    <w:rsid w:val="5D466552"/>
    <w:rsid w:val="5D4C7677"/>
    <w:rsid w:val="5D6F3683"/>
    <w:rsid w:val="5DBC7459"/>
    <w:rsid w:val="5DC32174"/>
    <w:rsid w:val="5DFF1D85"/>
    <w:rsid w:val="5E0E7C64"/>
    <w:rsid w:val="5E1C2EEC"/>
    <w:rsid w:val="5E3563B7"/>
    <w:rsid w:val="5E423569"/>
    <w:rsid w:val="5E556F16"/>
    <w:rsid w:val="5E6B4056"/>
    <w:rsid w:val="5E701E78"/>
    <w:rsid w:val="5E9153D9"/>
    <w:rsid w:val="5EA75E2C"/>
    <w:rsid w:val="5EBF3432"/>
    <w:rsid w:val="5EC51D3B"/>
    <w:rsid w:val="5F151678"/>
    <w:rsid w:val="5F420C2F"/>
    <w:rsid w:val="5F493447"/>
    <w:rsid w:val="5F6D22DF"/>
    <w:rsid w:val="5F8F71F5"/>
    <w:rsid w:val="5F92082A"/>
    <w:rsid w:val="5FAB7CCA"/>
    <w:rsid w:val="5FC20EF4"/>
    <w:rsid w:val="601032F8"/>
    <w:rsid w:val="601E1D67"/>
    <w:rsid w:val="602A3C8A"/>
    <w:rsid w:val="60451A00"/>
    <w:rsid w:val="60696350"/>
    <w:rsid w:val="608B3584"/>
    <w:rsid w:val="60903A70"/>
    <w:rsid w:val="60AA4088"/>
    <w:rsid w:val="60B52C8B"/>
    <w:rsid w:val="60B52CED"/>
    <w:rsid w:val="60EC70BC"/>
    <w:rsid w:val="60F70CA5"/>
    <w:rsid w:val="612E38CA"/>
    <w:rsid w:val="614A7B18"/>
    <w:rsid w:val="61BB1D4F"/>
    <w:rsid w:val="61D8221E"/>
    <w:rsid w:val="61D920FC"/>
    <w:rsid w:val="6223400D"/>
    <w:rsid w:val="623A7DFE"/>
    <w:rsid w:val="62CD073C"/>
    <w:rsid w:val="62EA050A"/>
    <w:rsid w:val="631F7353"/>
    <w:rsid w:val="632A27CE"/>
    <w:rsid w:val="63300076"/>
    <w:rsid w:val="63491B15"/>
    <w:rsid w:val="63545CE8"/>
    <w:rsid w:val="636A16F5"/>
    <w:rsid w:val="637D3941"/>
    <w:rsid w:val="63DE3707"/>
    <w:rsid w:val="64126F2E"/>
    <w:rsid w:val="64185015"/>
    <w:rsid w:val="641A3621"/>
    <w:rsid w:val="64543408"/>
    <w:rsid w:val="64A61FC3"/>
    <w:rsid w:val="64CE1CCC"/>
    <w:rsid w:val="64CE3D54"/>
    <w:rsid w:val="64CF23BD"/>
    <w:rsid w:val="64E41CB0"/>
    <w:rsid w:val="64E95236"/>
    <w:rsid w:val="652B13B8"/>
    <w:rsid w:val="654C2467"/>
    <w:rsid w:val="654F2291"/>
    <w:rsid w:val="655011E7"/>
    <w:rsid w:val="655D3574"/>
    <w:rsid w:val="65AE7793"/>
    <w:rsid w:val="65C61831"/>
    <w:rsid w:val="65CD5462"/>
    <w:rsid w:val="65D26161"/>
    <w:rsid w:val="65F84623"/>
    <w:rsid w:val="65F926F5"/>
    <w:rsid w:val="661A56B2"/>
    <w:rsid w:val="66557BE6"/>
    <w:rsid w:val="66914A1E"/>
    <w:rsid w:val="66933DC5"/>
    <w:rsid w:val="66AD4085"/>
    <w:rsid w:val="66CB2D9E"/>
    <w:rsid w:val="66CE18F5"/>
    <w:rsid w:val="66D066B5"/>
    <w:rsid w:val="66DA5EE8"/>
    <w:rsid w:val="672260C9"/>
    <w:rsid w:val="672F2771"/>
    <w:rsid w:val="67637932"/>
    <w:rsid w:val="67A81728"/>
    <w:rsid w:val="67AE7C74"/>
    <w:rsid w:val="67B71647"/>
    <w:rsid w:val="67C55368"/>
    <w:rsid w:val="67CB4B8A"/>
    <w:rsid w:val="67E44DDD"/>
    <w:rsid w:val="67FE610A"/>
    <w:rsid w:val="682174E8"/>
    <w:rsid w:val="682558B6"/>
    <w:rsid w:val="68316757"/>
    <w:rsid w:val="68463092"/>
    <w:rsid w:val="68705C7D"/>
    <w:rsid w:val="68782B68"/>
    <w:rsid w:val="689E550E"/>
    <w:rsid w:val="68A81946"/>
    <w:rsid w:val="68C5065B"/>
    <w:rsid w:val="68DC20C4"/>
    <w:rsid w:val="68E979CC"/>
    <w:rsid w:val="68F058B8"/>
    <w:rsid w:val="68FF776B"/>
    <w:rsid w:val="69141ABD"/>
    <w:rsid w:val="69183507"/>
    <w:rsid w:val="69196C31"/>
    <w:rsid w:val="69242C0F"/>
    <w:rsid w:val="696C5645"/>
    <w:rsid w:val="698D259E"/>
    <w:rsid w:val="699561D2"/>
    <w:rsid w:val="699A1097"/>
    <w:rsid w:val="69B34680"/>
    <w:rsid w:val="69F64552"/>
    <w:rsid w:val="6A17092C"/>
    <w:rsid w:val="6A202DC6"/>
    <w:rsid w:val="6A361E8B"/>
    <w:rsid w:val="6A4806BA"/>
    <w:rsid w:val="6A696948"/>
    <w:rsid w:val="6A861425"/>
    <w:rsid w:val="6A995C40"/>
    <w:rsid w:val="6AA42E00"/>
    <w:rsid w:val="6AA5167C"/>
    <w:rsid w:val="6AB040E4"/>
    <w:rsid w:val="6AB55016"/>
    <w:rsid w:val="6AED2D1B"/>
    <w:rsid w:val="6AF4116A"/>
    <w:rsid w:val="6AFD551B"/>
    <w:rsid w:val="6B1F04F9"/>
    <w:rsid w:val="6B200ADD"/>
    <w:rsid w:val="6B2753FB"/>
    <w:rsid w:val="6B387421"/>
    <w:rsid w:val="6B3A4C9F"/>
    <w:rsid w:val="6B46763D"/>
    <w:rsid w:val="6B517F27"/>
    <w:rsid w:val="6B6B5702"/>
    <w:rsid w:val="6B71045A"/>
    <w:rsid w:val="6B925859"/>
    <w:rsid w:val="6B9C3272"/>
    <w:rsid w:val="6BAA14C4"/>
    <w:rsid w:val="6BBD2E8C"/>
    <w:rsid w:val="6BC44E15"/>
    <w:rsid w:val="6BED3342"/>
    <w:rsid w:val="6C063481"/>
    <w:rsid w:val="6C276BC8"/>
    <w:rsid w:val="6C2D7FC9"/>
    <w:rsid w:val="6C390C6D"/>
    <w:rsid w:val="6C3C0FAA"/>
    <w:rsid w:val="6C627C31"/>
    <w:rsid w:val="6C9511C2"/>
    <w:rsid w:val="6C96418E"/>
    <w:rsid w:val="6CA53BE4"/>
    <w:rsid w:val="6CB7700E"/>
    <w:rsid w:val="6CBE0C72"/>
    <w:rsid w:val="6CD7517F"/>
    <w:rsid w:val="6D1F7E0C"/>
    <w:rsid w:val="6D597058"/>
    <w:rsid w:val="6D720854"/>
    <w:rsid w:val="6D751C68"/>
    <w:rsid w:val="6D7B42CE"/>
    <w:rsid w:val="6D8B4032"/>
    <w:rsid w:val="6D946E2F"/>
    <w:rsid w:val="6DAD5287"/>
    <w:rsid w:val="6DAE3B0B"/>
    <w:rsid w:val="6DB12AF2"/>
    <w:rsid w:val="6DC172E0"/>
    <w:rsid w:val="6DC817D1"/>
    <w:rsid w:val="6DFE5767"/>
    <w:rsid w:val="6E122378"/>
    <w:rsid w:val="6E213FDA"/>
    <w:rsid w:val="6E3F664D"/>
    <w:rsid w:val="6E3F6B50"/>
    <w:rsid w:val="6E5C18BF"/>
    <w:rsid w:val="6E693D86"/>
    <w:rsid w:val="6E7525B2"/>
    <w:rsid w:val="6E792E4D"/>
    <w:rsid w:val="6E916EA6"/>
    <w:rsid w:val="6E9522D2"/>
    <w:rsid w:val="6E993803"/>
    <w:rsid w:val="6E9B3560"/>
    <w:rsid w:val="6EC45DEA"/>
    <w:rsid w:val="6EC8039D"/>
    <w:rsid w:val="6ECC25E5"/>
    <w:rsid w:val="6ECD4E06"/>
    <w:rsid w:val="6EEA1BEF"/>
    <w:rsid w:val="6EFC4708"/>
    <w:rsid w:val="6F272993"/>
    <w:rsid w:val="6F47368F"/>
    <w:rsid w:val="6F5B789D"/>
    <w:rsid w:val="6F8B57FD"/>
    <w:rsid w:val="6F966123"/>
    <w:rsid w:val="6FF14358"/>
    <w:rsid w:val="700641D1"/>
    <w:rsid w:val="70274C2C"/>
    <w:rsid w:val="702B2861"/>
    <w:rsid w:val="702D020A"/>
    <w:rsid w:val="705121DB"/>
    <w:rsid w:val="7086088F"/>
    <w:rsid w:val="709C5134"/>
    <w:rsid w:val="709F2155"/>
    <w:rsid w:val="70BB080B"/>
    <w:rsid w:val="70E2279D"/>
    <w:rsid w:val="710E620F"/>
    <w:rsid w:val="71305665"/>
    <w:rsid w:val="71487158"/>
    <w:rsid w:val="716F373A"/>
    <w:rsid w:val="719673A2"/>
    <w:rsid w:val="71BB7CCC"/>
    <w:rsid w:val="71CB3625"/>
    <w:rsid w:val="720A1A20"/>
    <w:rsid w:val="721F6DD8"/>
    <w:rsid w:val="72372878"/>
    <w:rsid w:val="724C084B"/>
    <w:rsid w:val="724D5482"/>
    <w:rsid w:val="72506996"/>
    <w:rsid w:val="72717245"/>
    <w:rsid w:val="727D2B0E"/>
    <w:rsid w:val="72EE10B5"/>
    <w:rsid w:val="72EE4A07"/>
    <w:rsid w:val="733D3ABD"/>
    <w:rsid w:val="73706946"/>
    <w:rsid w:val="73722141"/>
    <w:rsid w:val="73B015BD"/>
    <w:rsid w:val="73C3598F"/>
    <w:rsid w:val="73CC7B90"/>
    <w:rsid w:val="73EE2342"/>
    <w:rsid w:val="73F45470"/>
    <w:rsid w:val="740C005D"/>
    <w:rsid w:val="740F76BC"/>
    <w:rsid w:val="744C69B6"/>
    <w:rsid w:val="746069AC"/>
    <w:rsid w:val="74737CA5"/>
    <w:rsid w:val="74786F20"/>
    <w:rsid w:val="74D228C9"/>
    <w:rsid w:val="74DA7222"/>
    <w:rsid w:val="753825AE"/>
    <w:rsid w:val="75804211"/>
    <w:rsid w:val="75A913A8"/>
    <w:rsid w:val="75BC27B0"/>
    <w:rsid w:val="75BF0DAA"/>
    <w:rsid w:val="75F46CE9"/>
    <w:rsid w:val="75FB225F"/>
    <w:rsid w:val="760A4D48"/>
    <w:rsid w:val="76263D91"/>
    <w:rsid w:val="762E2DE2"/>
    <w:rsid w:val="76844F48"/>
    <w:rsid w:val="76DB13EE"/>
    <w:rsid w:val="76DB2ADD"/>
    <w:rsid w:val="76DB5719"/>
    <w:rsid w:val="76DF5DE2"/>
    <w:rsid w:val="76E710FB"/>
    <w:rsid w:val="76FC2416"/>
    <w:rsid w:val="77055ED3"/>
    <w:rsid w:val="7707334D"/>
    <w:rsid w:val="775A21B8"/>
    <w:rsid w:val="775D7DF5"/>
    <w:rsid w:val="776004A1"/>
    <w:rsid w:val="778319E3"/>
    <w:rsid w:val="77856BCA"/>
    <w:rsid w:val="77883ACC"/>
    <w:rsid w:val="778F47D5"/>
    <w:rsid w:val="77902F85"/>
    <w:rsid w:val="779D312D"/>
    <w:rsid w:val="77C73E81"/>
    <w:rsid w:val="77CB5B5E"/>
    <w:rsid w:val="77F43D7D"/>
    <w:rsid w:val="78054CF9"/>
    <w:rsid w:val="782A0709"/>
    <w:rsid w:val="782B4325"/>
    <w:rsid w:val="78652DCF"/>
    <w:rsid w:val="786D5E26"/>
    <w:rsid w:val="789034CA"/>
    <w:rsid w:val="789A6C0D"/>
    <w:rsid w:val="78C7500C"/>
    <w:rsid w:val="78E1795D"/>
    <w:rsid w:val="78F005E1"/>
    <w:rsid w:val="79217D9E"/>
    <w:rsid w:val="794420EC"/>
    <w:rsid w:val="796727D8"/>
    <w:rsid w:val="798D7A4A"/>
    <w:rsid w:val="799B2CD0"/>
    <w:rsid w:val="79E01AFC"/>
    <w:rsid w:val="7A1258BD"/>
    <w:rsid w:val="7A163DC0"/>
    <w:rsid w:val="7A297443"/>
    <w:rsid w:val="7A3E7570"/>
    <w:rsid w:val="7A412168"/>
    <w:rsid w:val="7A574EEE"/>
    <w:rsid w:val="7A705B6B"/>
    <w:rsid w:val="7A7D2638"/>
    <w:rsid w:val="7AC24D03"/>
    <w:rsid w:val="7ACF44D2"/>
    <w:rsid w:val="7AE127B3"/>
    <w:rsid w:val="7B1A4095"/>
    <w:rsid w:val="7B20279B"/>
    <w:rsid w:val="7B6174C4"/>
    <w:rsid w:val="7B7D61D2"/>
    <w:rsid w:val="7B982ADF"/>
    <w:rsid w:val="7BAC0E18"/>
    <w:rsid w:val="7BBE12EC"/>
    <w:rsid w:val="7C2614AF"/>
    <w:rsid w:val="7C5D42C0"/>
    <w:rsid w:val="7C636633"/>
    <w:rsid w:val="7CDC54DC"/>
    <w:rsid w:val="7CF01AB9"/>
    <w:rsid w:val="7CF10260"/>
    <w:rsid w:val="7CF76770"/>
    <w:rsid w:val="7D174D0E"/>
    <w:rsid w:val="7D2B35F3"/>
    <w:rsid w:val="7D334947"/>
    <w:rsid w:val="7D5C5662"/>
    <w:rsid w:val="7D935DBE"/>
    <w:rsid w:val="7D99016F"/>
    <w:rsid w:val="7DBD7059"/>
    <w:rsid w:val="7DD4062F"/>
    <w:rsid w:val="7DE218E0"/>
    <w:rsid w:val="7DE27803"/>
    <w:rsid w:val="7DF200D0"/>
    <w:rsid w:val="7E0C7561"/>
    <w:rsid w:val="7E114254"/>
    <w:rsid w:val="7E277A22"/>
    <w:rsid w:val="7E2F335D"/>
    <w:rsid w:val="7E3C3E0A"/>
    <w:rsid w:val="7E7E2590"/>
    <w:rsid w:val="7ED20727"/>
    <w:rsid w:val="7F1761C2"/>
    <w:rsid w:val="7F1D7759"/>
    <w:rsid w:val="7F253B05"/>
    <w:rsid w:val="7F363246"/>
    <w:rsid w:val="7F5C23C7"/>
    <w:rsid w:val="7F60561D"/>
    <w:rsid w:val="7F6A5FB5"/>
    <w:rsid w:val="7FE817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0" w:semiHidden="0"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sdException w:qFormat="1" w:unhideWhenUsed="0" w:uiPriority="0" w:semiHidden="0" w:name="toc 2" w:locked="1"/>
    <w:lsdException w:qFormat="1" w:unhideWhenUsed="0" w:uiPriority="0" w:semiHidden="0" w:name="toc 3" w:locked="1"/>
    <w:lsdException w:qFormat="1" w:uiPriority="0" w:semiHidden="0" w:name="toc 4" w:locked="1"/>
    <w:lsdException w:qFormat="1" w:uiPriority="0" w:semiHidden="0" w:name="toc 5" w:locked="1"/>
    <w:lsdException w:qFormat="1" w:uiPriority="0" w:semiHidden="0" w:name="toc 6" w:locked="1"/>
    <w:lsdException w:qFormat="1" w:uiPriority="0" w:semiHidden="0" w:name="toc 7" w:locked="1"/>
    <w:lsdException w:qFormat="1" w:uiPriority="0" w:semiHidden="0" w:name="toc 8" w:locked="1"/>
    <w:lsdException w:qFormat="1" w:uiPriority="0" w:semiHidden="0" w:name="toc 9" w:locked="1"/>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99" w:semiHidden="0" w:name="footer"/>
    <w:lsdException w:uiPriority="99" w:name="index heading" w:locked="1"/>
    <w:lsdException w:qFormat="1" w:unhideWhenUsed="0" w:uiPriority="0" w:semiHidden="0" w:name="caption" w:locked="1"/>
    <w:lsdException w:uiPriority="99" w:name="table of figures" w:locked="1"/>
    <w:lsdException w:uiPriority="99" w:name="envelope address" w:locked="1"/>
    <w:lsdException w:uiPriority="99" w:name="envelope return" w:locked="1"/>
    <w:lsdException w:qFormat="1" w:unhideWhenUsed="0" w:uiPriority="0" w:semiHidden="0" w:name="footnote reference"/>
    <w:lsdException w:qFormat="1" w:unhideWhenUsed="0" w:uiPriority="0" w:semiHidden="0" w:name="annotation reference" w:locked="1"/>
    <w:lsdException w:uiPriority="99" w:name="line number" w:locked="1"/>
    <w:lsdException w:qFormat="1" w:unhideWhenUsed="0" w:uiPriority="0" w:semiHidden="0" w:name="page number"/>
    <w:lsdException w:qFormat="1" w:unhideWhenUsed="0" w:uiPriority="0" w:semiHidden="0" w:name="endnote reference" w:locked="1"/>
    <w:lsdException w:qFormat="1" w:unhideWhenUsed="0" w:uiPriority="0" w:semiHidden="0"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qFormat="1" w:unhideWhenUsed="0" w:uiPriority="0" w:semiHidden="0"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qFormat="1" w:unhideWhenUsed="0" w:uiPriority="0" w:semiHidden="0" w:name="List Bullet 2" w:locked="1"/>
    <w:lsdException w:qFormat="1" w:unhideWhenUsed="0" w:uiPriority="0" w:semiHidden="0" w:name="List Bullet 3" w:locked="1"/>
    <w:lsdException w:qFormat="1" w:unhideWhenUsed="0" w:uiPriority="0" w:semiHidden="0" w:name="List Bullet 4" w:locked="1"/>
    <w:lsdException w:qFormat="1" w:unhideWhenUsed="0" w:uiPriority="0" w:semiHidden="0"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0" w:semiHidden="0" w:name="Salutation" w:locked="1"/>
    <w:lsdException w:qFormat="1" w:unhideWhenUsed="0" w:uiPriority="0" w:semiHidden="0" w:name="Date"/>
    <w:lsdException w:qFormat="1" w:unhideWhenUsed="0" w:uiPriority="0" w:semiHidden="0" w:name="Body Text First Indent"/>
    <w:lsdException w:qFormat="1" w:unhideWhenUsed="0" w:uiPriority="0" w:semiHidden="0" w:name="Body Text First Indent 2" w:locked="1"/>
    <w:lsdException w:uiPriority="99" w:name="Note Heading" w:locked="1"/>
    <w:lsdException w:qFormat="1" w:unhideWhenUsed="0" w:uiPriority="0" w:semiHidden="0" w:name="Body Text 2" w:locked="1"/>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ocked="1"/>
    <w:lsdException w:qFormat="1" w:unhideWhenUsed="0" w:uiPriority="0" w:semiHidden="0" w:name="Hyperlink"/>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3"/>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
    <w:name w:val="heading 2"/>
    <w:basedOn w:val="1"/>
    <w:next w:val="1"/>
    <w:link w:val="64"/>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65"/>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66"/>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67"/>
    <w:qFormat/>
    <w:uiPriority w:val="0"/>
    <w:pPr>
      <w:keepNext/>
      <w:keepLines/>
      <w:spacing w:before="280" w:after="290" w:line="376" w:lineRule="auto"/>
      <w:outlineLvl w:val="4"/>
    </w:pPr>
    <w:rPr>
      <w:b/>
      <w:bCs/>
      <w:kern w:val="0"/>
      <w:sz w:val="28"/>
      <w:szCs w:val="28"/>
    </w:rPr>
  </w:style>
  <w:style w:type="paragraph" w:styleId="8">
    <w:name w:val="heading 6"/>
    <w:basedOn w:val="1"/>
    <w:next w:val="1"/>
    <w:link w:val="129"/>
    <w:qFormat/>
    <w:locked/>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30"/>
    <w:qFormat/>
    <w:locked/>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31"/>
    <w:qFormat/>
    <w:locked/>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32"/>
    <w:qFormat/>
    <w:locked/>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2"/>
    <w:qFormat/>
    <w:uiPriority w:val="0"/>
    <w:pPr>
      <w:spacing w:after="120"/>
    </w:pPr>
    <w:rPr>
      <w:rFonts w:ascii="Calibri" w:hAnsi="Calibri"/>
      <w:szCs w:val="22"/>
    </w:rPr>
  </w:style>
  <w:style w:type="paragraph" w:styleId="12">
    <w:name w:val="toc 7"/>
    <w:basedOn w:val="1"/>
    <w:next w:val="1"/>
    <w:unhideWhenUsed/>
    <w:qFormat/>
    <w:locked/>
    <w:uiPriority w:val="0"/>
    <w:pPr>
      <w:ind w:left="2520" w:leftChars="1200"/>
    </w:pPr>
    <w:rPr>
      <w:rFonts w:ascii="Calibri" w:hAnsi="Calibri"/>
      <w:szCs w:val="22"/>
    </w:rPr>
  </w:style>
  <w:style w:type="paragraph" w:styleId="13">
    <w:name w:val="List Bullet 4"/>
    <w:basedOn w:val="1"/>
    <w:qFormat/>
    <w:locked/>
    <w:uiPriority w:val="0"/>
    <w:pPr>
      <w:tabs>
        <w:tab w:val="left" w:pos="1458"/>
        <w:tab w:val="left" w:pos="1620"/>
      </w:tabs>
    </w:pPr>
  </w:style>
  <w:style w:type="paragraph" w:styleId="14">
    <w:name w:val="Normal Indent"/>
    <w:basedOn w:val="1"/>
    <w:qFormat/>
    <w:uiPriority w:val="0"/>
    <w:pPr>
      <w:ind w:firstLine="420"/>
    </w:pPr>
    <w:rPr>
      <w:szCs w:val="20"/>
    </w:rPr>
  </w:style>
  <w:style w:type="paragraph" w:styleId="15">
    <w:name w:val="caption"/>
    <w:basedOn w:val="1"/>
    <w:next w:val="1"/>
    <w:qFormat/>
    <w:locked/>
    <w:uiPriority w:val="0"/>
    <w:rPr>
      <w:rFonts w:ascii="Arial" w:hAnsi="Arial" w:eastAsia="黑体" w:cs="Arial"/>
      <w:sz w:val="20"/>
      <w:szCs w:val="20"/>
    </w:rPr>
  </w:style>
  <w:style w:type="paragraph" w:styleId="16">
    <w:name w:val="List Bullet"/>
    <w:basedOn w:val="1"/>
    <w:qFormat/>
    <w:locked/>
    <w:uiPriority w:val="0"/>
    <w:pPr>
      <w:numPr>
        <w:ilvl w:val="0"/>
        <w:numId w:val="1"/>
      </w:numPr>
      <w:tabs>
        <w:tab w:val="left" w:pos="360"/>
        <w:tab w:val="left" w:pos="1620"/>
      </w:tabs>
      <w:ind w:left="360"/>
    </w:pPr>
  </w:style>
  <w:style w:type="paragraph" w:styleId="17">
    <w:name w:val="Document Map"/>
    <w:basedOn w:val="1"/>
    <w:link w:val="95"/>
    <w:qFormat/>
    <w:uiPriority w:val="0"/>
    <w:pPr>
      <w:shd w:val="clear" w:color="auto" w:fill="000080"/>
    </w:pPr>
    <w:rPr>
      <w:rFonts w:ascii="宋体" w:hAnsi="Calibri"/>
      <w:sz w:val="18"/>
      <w:szCs w:val="18"/>
    </w:rPr>
  </w:style>
  <w:style w:type="paragraph" w:styleId="18">
    <w:name w:val="annotation text"/>
    <w:basedOn w:val="1"/>
    <w:link w:val="71"/>
    <w:qFormat/>
    <w:uiPriority w:val="0"/>
    <w:pPr>
      <w:jc w:val="left"/>
    </w:pPr>
    <w:rPr>
      <w:kern w:val="0"/>
      <w:sz w:val="20"/>
    </w:rPr>
  </w:style>
  <w:style w:type="paragraph" w:styleId="19">
    <w:name w:val="Salutation"/>
    <w:basedOn w:val="1"/>
    <w:next w:val="1"/>
    <w:link w:val="168"/>
    <w:qFormat/>
    <w:locked/>
    <w:uiPriority w:val="0"/>
    <w:pPr>
      <w:spacing w:line="400" w:lineRule="atLeast"/>
    </w:pPr>
    <w:rPr>
      <w:b/>
      <w:kern w:val="0"/>
      <w:sz w:val="24"/>
      <w:szCs w:val="20"/>
    </w:rPr>
  </w:style>
  <w:style w:type="paragraph" w:styleId="20">
    <w:name w:val="Body Text 3"/>
    <w:basedOn w:val="1"/>
    <w:link w:val="101"/>
    <w:qFormat/>
    <w:uiPriority w:val="0"/>
    <w:pPr>
      <w:spacing w:after="120"/>
    </w:pPr>
    <w:rPr>
      <w:rFonts w:ascii="Calibri" w:hAnsi="Calibri"/>
      <w:sz w:val="16"/>
      <w:szCs w:val="16"/>
    </w:rPr>
  </w:style>
  <w:style w:type="paragraph" w:styleId="21">
    <w:name w:val="List Bullet 3"/>
    <w:basedOn w:val="1"/>
    <w:qFormat/>
    <w:locked/>
    <w:uiPriority w:val="0"/>
    <w:pPr>
      <w:tabs>
        <w:tab w:val="left" w:pos="1140"/>
        <w:tab w:val="left" w:pos="1200"/>
      </w:tabs>
      <w:ind w:left="1200" w:leftChars="400" w:hanging="720"/>
    </w:pPr>
  </w:style>
  <w:style w:type="paragraph" w:styleId="22">
    <w:name w:val="Body Text Indent"/>
    <w:basedOn w:val="1"/>
    <w:link w:val="73"/>
    <w:qFormat/>
    <w:uiPriority w:val="0"/>
    <w:pPr>
      <w:spacing w:after="120"/>
      <w:ind w:left="420" w:leftChars="200"/>
    </w:pPr>
  </w:style>
  <w:style w:type="paragraph" w:styleId="23">
    <w:name w:val="Block Text"/>
    <w:basedOn w:val="1"/>
    <w:qFormat/>
    <w:locked/>
    <w:uiPriority w:val="0"/>
    <w:pPr>
      <w:spacing w:line="360" w:lineRule="auto"/>
      <w:ind w:left="1" w:right="-13" w:rightChars="-6" w:firstLine="480" w:firstLineChars="200"/>
    </w:pPr>
    <w:rPr>
      <w:rFonts w:ascii="Arial" w:hAnsi="Arial" w:cs="Arial"/>
      <w:sz w:val="24"/>
    </w:rPr>
  </w:style>
  <w:style w:type="paragraph" w:styleId="24">
    <w:name w:val="List Bullet 2"/>
    <w:basedOn w:val="1"/>
    <w:qFormat/>
    <w:locked/>
    <w:uiPriority w:val="0"/>
    <w:pPr>
      <w:tabs>
        <w:tab w:val="left" w:pos="780"/>
        <w:tab w:val="left" w:pos="1620"/>
      </w:tabs>
    </w:pPr>
  </w:style>
  <w:style w:type="paragraph" w:styleId="25">
    <w:name w:val="toc 5"/>
    <w:basedOn w:val="1"/>
    <w:next w:val="1"/>
    <w:unhideWhenUsed/>
    <w:qFormat/>
    <w:locked/>
    <w:uiPriority w:val="0"/>
    <w:pPr>
      <w:ind w:left="1680" w:leftChars="800"/>
    </w:pPr>
    <w:rPr>
      <w:rFonts w:ascii="Calibri" w:hAnsi="Calibri"/>
      <w:szCs w:val="22"/>
    </w:rPr>
  </w:style>
  <w:style w:type="paragraph" w:styleId="26">
    <w:name w:val="toc 3"/>
    <w:basedOn w:val="1"/>
    <w:next w:val="1"/>
    <w:qFormat/>
    <w:locked/>
    <w:uiPriority w:val="0"/>
    <w:pPr>
      <w:ind w:left="840" w:leftChars="400"/>
    </w:pPr>
  </w:style>
  <w:style w:type="paragraph" w:styleId="27">
    <w:name w:val="Plain Text"/>
    <w:basedOn w:val="1"/>
    <w:link w:val="87"/>
    <w:qFormat/>
    <w:uiPriority w:val="0"/>
    <w:rPr>
      <w:rFonts w:ascii="宋体" w:hAnsi="Courier New"/>
      <w:szCs w:val="21"/>
    </w:rPr>
  </w:style>
  <w:style w:type="paragraph" w:styleId="28">
    <w:name w:val="List Bullet 5"/>
    <w:basedOn w:val="1"/>
    <w:qFormat/>
    <w:locked/>
    <w:uiPriority w:val="0"/>
    <w:pPr>
      <w:tabs>
        <w:tab w:val="left" w:pos="425"/>
      </w:tabs>
      <w:ind w:left="425" w:hanging="425"/>
    </w:pPr>
  </w:style>
  <w:style w:type="paragraph" w:styleId="29">
    <w:name w:val="toc 8"/>
    <w:basedOn w:val="1"/>
    <w:next w:val="1"/>
    <w:unhideWhenUsed/>
    <w:qFormat/>
    <w:locked/>
    <w:uiPriority w:val="0"/>
    <w:pPr>
      <w:ind w:left="2940" w:leftChars="1400"/>
    </w:pPr>
    <w:rPr>
      <w:rFonts w:ascii="Calibri" w:hAnsi="Calibri"/>
      <w:szCs w:val="22"/>
    </w:rPr>
  </w:style>
  <w:style w:type="paragraph" w:styleId="30">
    <w:name w:val="Date"/>
    <w:basedOn w:val="1"/>
    <w:next w:val="1"/>
    <w:link w:val="97"/>
    <w:qFormat/>
    <w:uiPriority w:val="0"/>
    <w:pPr>
      <w:ind w:left="100" w:leftChars="2500"/>
    </w:pPr>
    <w:rPr>
      <w:rFonts w:ascii="Calibri" w:hAnsi="Calibri"/>
      <w:szCs w:val="22"/>
    </w:rPr>
  </w:style>
  <w:style w:type="paragraph" w:styleId="31">
    <w:name w:val="Body Text Indent 2"/>
    <w:basedOn w:val="1"/>
    <w:link w:val="99"/>
    <w:qFormat/>
    <w:uiPriority w:val="0"/>
    <w:pPr>
      <w:spacing w:after="120" w:line="480" w:lineRule="auto"/>
      <w:ind w:left="420" w:leftChars="200"/>
    </w:pPr>
    <w:rPr>
      <w:rFonts w:ascii="Calibri" w:hAnsi="Calibri"/>
      <w:szCs w:val="22"/>
    </w:rPr>
  </w:style>
  <w:style w:type="paragraph" w:styleId="32">
    <w:name w:val="endnote text"/>
    <w:basedOn w:val="1"/>
    <w:link w:val="173"/>
    <w:qFormat/>
    <w:locked/>
    <w:uiPriority w:val="0"/>
    <w:pPr>
      <w:snapToGrid w:val="0"/>
      <w:jc w:val="left"/>
    </w:pPr>
    <w:rPr>
      <w:kern w:val="0"/>
      <w:sz w:val="20"/>
    </w:rPr>
  </w:style>
  <w:style w:type="paragraph" w:styleId="33">
    <w:name w:val="Balloon Text"/>
    <w:basedOn w:val="1"/>
    <w:link w:val="105"/>
    <w:qFormat/>
    <w:uiPriority w:val="0"/>
    <w:rPr>
      <w:rFonts w:ascii="Calibri" w:hAnsi="Calibri"/>
      <w:sz w:val="18"/>
      <w:szCs w:val="18"/>
    </w:rPr>
  </w:style>
  <w:style w:type="paragraph" w:styleId="34">
    <w:name w:val="footer"/>
    <w:basedOn w:val="1"/>
    <w:link w:val="78"/>
    <w:qFormat/>
    <w:uiPriority w:val="99"/>
    <w:pPr>
      <w:tabs>
        <w:tab w:val="center" w:pos="4153"/>
        <w:tab w:val="right" w:pos="8306"/>
      </w:tabs>
      <w:snapToGrid w:val="0"/>
      <w:jc w:val="left"/>
    </w:pPr>
    <w:rPr>
      <w:sz w:val="18"/>
      <w:szCs w:val="18"/>
    </w:rPr>
  </w:style>
  <w:style w:type="paragraph" w:styleId="35">
    <w:name w:val="header"/>
    <w:basedOn w:val="1"/>
    <w:link w:val="79"/>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6">
    <w:name w:val="toc 1"/>
    <w:basedOn w:val="1"/>
    <w:next w:val="1"/>
    <w:qFormat/>
    <w:uiPriority w:val="0"/>
    <w:pPr>
      <w:spacing w:before="120" w:after="120"/>
      <w:jc w:val="left"/>
    </w:pPr>
    <w:rPr>
      <w:b/>
      <w:bCs/>
      <w:caps/>
      <w:sz w:val="20"/>
      <w:szCs w:val="20"/>
    </w:rPr>
  </w:style>
  <w:style w:type="paragraph" w:styleId="37">
    <w:name w:val="toc 4"/>
    <w:basedOn w:val="1"/>
    <w:next w:val="1"/>
    <w:unhideWhenUsed/>
    <w:qFormat/>
    <w:locked/>
    <w:uiPriority w:val="0"/>
    <w:pPr>
      <w:ind w:left="1260" w:leftChars="600"/>
    </w:pPr>
    <w:rPr>
      <w:rFonts w:ascii="Calibri" w:hAnsi="Calibri"/>
      <w:szCs w:val="22"/>
    </w:rPr>
  </w:style>
  <w:style w:type="paragraph" w:styleId="38">
    <w:name w:val="List"/>
    <w:basedOn w:val="1"/>
    <w:qFormat/>
    <w:locked/>
    <w:uiPriority w:val="0"/>
    <w:pPr>
      <w:ind w:left="420" w:hanging="420"/>
    </w:pPr>
    <w:rPr>
      <w:szCs w:val="20"/>
    </w:rPr>
  </w:style>
  <w:style w:type="paragraph" w:styleId="39">
    <w:name w:val="footnote text"/>
    <w:basedOn w:val="1"/>
    <w:link w:val="89"/>
    <w:qFormat/>
    <w:uiPriority w:val="0"/>
    <w:pPr>
      <w:snapToGrid w:val="0"/>
      <w:jc w:val="left"/>
    </w:pPr>
    <w:rPr>
      <w:rFonts w:ascii="Calibri" w:hAnsi="Calibri"/>
      <w:sz w:val="18"/>
      <w:szCs w:val="18"/>
    </w:rPr>
  </w:style>
  <w:style w:type="paragraph" w:styleId="40">
    <w:name w:val="toc 6"/>
    <w:basedOn w:val="1"/>
    <w:next w:val="1"/>
    <w:unhideWhenUsed/>
    <w:qFormat/>
    <w:locked/>
    <w:uiPriority w:val="0"/>
    <w:pPr>
      <w:ind w:left="2100" w:leftChars="1000"/>
    </w:pPr>
    <w:rPr>
      <w:rFonts w:ascii="Calibri" w:hAnsi="Calibri"/>
      <w:szCs w:val="22"/>
    </w:rPr>
  </w:style>
  <w:style w:type="paragraph" w:styleId="41">
    <w:name w:val="Body Text Indent 3"/>
    <w:basedOn w:val="1"/>
    <w:link w:val="103"/>
    <w:qFormat/>
    <w:uiPriority w:val="0"/>
    <w:pPr>
      <w:snapToGrid w:val="0"/>
      <w:ind w:firstLine="576"/>
    </w:pPr>
    <w:rPr>
      <w:rFonts w:ascii="Calibri" w:hAnsi="Calibri"/>
      <w:sz w:val="16"/>
      <w:szCs w:val="16"/>
    </w:rPr>
  </w:style>
  <w:style w:type="paragraph" w:styleId="42">
    <w:name w:val="toc 2"/>
    <w:basedOn w:val="1"/>
    <w:next w:val="1"/>
    <w:qFormat/>
    <w:locked/>
    <w:uiPriority w:val="0"/>
    <w:pPr>
      <w:ind w:left="420" w:leftChars="200"/>
    </w:pPr>
  </w:style>
  <w:style w:type="paragraph" w:styleId="43">
    <w:name w:val="toc 9"/>
    <w:basedOn w:val="1"/>
    <w:next w:val="1"/>
    <w:unhideWhenUsed/>
    <w:qFormat/>
    <w:locked/>
    <w:uiPriority w:val="0"/>
    <w:pPr>
      <w:ind w:left="3360" w:leftChars="1600"/>
    </w:pPr>
    <w:rPr>
      <w:rFonts w:ascii="Calibri" w:hAnsi="Calibri"/>
      <w:szCs w:val="22"/>
    </w:rPr>
  </w:style>
  <w:style w:type="paragraph" w:styleId="44">
    <w:name w:val="Body Text 2"/>
    <w:basedOn w:val="1"/>
    <w:link w:val="172"/>
    <w:qFormat/>
    <w:locked/>
    <w:uiPriority w:val="0"/>
    <w:pPr>
      <w:spacing w:after="120" w:line="480" w:lineRule="auto"/>
    </w:pPr>
  </w:style>
  <w:style w:type="paragraph" w:styleId="45">
    <w:name w:val="HTML Preformatted"/>
    <w:basedOn w:val="1"/>
    <w:link w:val="171"/>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link w:val="107"/>
    <w:qFormat/>
    <w:uiPriority w:val="0"/>
    <w:pPr>
      <w:widowControl/>
      <w:spacing w:before="100" w:beforeAutospacing="1" w:after="100" w:afterAutospacing="1"/>
      <w:jc w:val="left"/>
    </w:pPr>
    <w:rPr>
      <w:rFonts w:ascii="宋体" w:hAnsi="宋体"/>
      <w:kern w:val="0"/>
      <w:sz w:val="24"/>
      <w:szCs w:val="20"/>
    </w:rPr>
  </w:style>
  <w:style w:type="paragraph" w:styleId="47">
    <w:name w:val="index 1"/>
    <w:basedOn w:val="1"/>
    <w:next w:val="1"/>
    <w:qFormat/>
    <w:locked/>
    <w:uiPriority w:val="0"/>
    <w:pPr>
      <w:spacing w:line="440" w:lineRule="exact"/>
      <w:jc w:val="center"/>
    </w:pPr>
    <w:rPr>
      <w:szCs w:val="21"/>
    </w:rPr>
  </w:style>
  <w:style w:type="paragraph" w:styleId="48">
    <w:name w:val="Title"/>
    <w:basedOn w:val="1"/>
    <w:link w:val="169"/>
    <w:qFormat/>
    <w:locked/>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9">
    <w:name w:val="annotation subject"/>
    <w:basedOn w:val="18"/>
    <w:next w:val="18"/>
    <w:link w:val="126"/>
    <w:qFormat/>
    <w:locked/>
    <w:uiPriority w:val="0"/>
    <w:rPr>
      <w:rFonts w:ascii="宋体" w:hAnsi="Calibri"/>
      <w:b/>
      <w:bCs/>
      <w:kern w:val="2"/>
      <w:sz w:val="21"/>
    </w:rPr>
  </w:style>
  <w:style w:type="paragraph" w:styleId="50">
    <w:name w:val="Body Text First Indent"/>
    <w:basedOn w:val="2"/>
    <w:link w:val="93"/>
    <w:qFormat/>
    <w:uiPriority w:val="0"/>
    <w:pPr>
      <w:ind w:firstLine="420" w:firstLineChars="100"/>
    </w:pPr>
  </w:style>
  <w:style w:type="paragraph" w:styleId="51">
    <w:name w:val="Body Text First Indent 2"/>
    <w:basedOn w:val="22"/>
    <w:link w:val="170"/>
    <w:qFormat/>
    <w:locked/>
    <w:uiPriority w:val="0"/>
    <w:pPr>
      <w:ind w:firstLine="420" w:firstLineChars="200"/>
    </w:pPr>
  </w:style>
  <w:style w:type="table" w:styleId="53">
    <w:name w:val="Table Grid"/>
    <w:basedOn w:val="5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55">
    <w:name w:val="Strong"/>
    <w:qFormat/>
    <w:locked/>
    <w:uiPriority w:val="0"/>
    <w:rPr>
      <w:b/>
      <w:bCs/>
    </w:rPr>
  </w:style>
  <w:style w:type="character" w:styleId="56">
    <w:name w:val="endnote reference"/>
    <w:qFormat/>
    <w:locked/>
    <w:uiPriority w:val="0"/>
    <w:rPr>
      <w:vertAlign w:val="superscript"/>
    </w:rPr>
  </w:style>
  <w:style w:type="character" w:styleId="57">
    <w:name w:val="page number"/>
    <w:basedOn w:val="54"/>
    <w:qFormat/>
    <w:uiPriority w:val="0"/>
    <w:rPr>
      <w:rFonts w:cs="Times New Roman"/>
    </w:rPr>
  </w:style>
  <w:style w:type="character" w:styleId="58">
    <w:name w:val="FollowedHyperlink"/>
    <w:basedOn w:val="54"/>
    <w:qFormat/>
    <w:locked/>
    <w:uiPriority w:val="0"/>
    <w:rPr>
      <w:color w:val="000000"/>
      <w:u w:val="none"/>
    </w:rPr>
  </w:style>
  <w:style w:type="character" w:styleId="59">
    <w:name w:val="Emphasis"/>
    <w:basedOn w:val="54"/>
    <w:qFormat/>
    <w:locked/>
    <w:uiPriority w:val="0"/>
    <w:rPr>
      <w:i/>
    </w:rPr>
  </w:style>
  <w:style w:type="character" w:styleId="60">
    <w:name w:val="Hyperlink"/>
    <w:basedOn w:val="54"/>
    <w:qFormat/>
    <w:uiPriority w:val="0"/>
    <w:rPr>
      <w:rFonts w:cs="Times New Roman"/>
      <w:color w:val="0000FF"/>
      <w:u w:val="single"/>
    </w:rPr>
  </w:style>
  <w:style w:type="character" w:styleId="61">
    <w:name w:val="annotation reference"/>
    <w:qFormat/>
    <w:locked/>
    <w:uiPriority w:val="0"/>
    <w:rPr>
      <w:sz w:val="21"/>
      <w:szCs w:val="21"/>
    </w:rPr>
  </w:style>
  <w:style w:type="character" w:styleId="62">
    <w:name w:val="footnote reference"/>
    <w:basedOn w:val="54"/>
    <w:qFormat/>
    <w:uiPriority w:val="0"/>
    <w:rPr>
      <w:rFonts w:cs="Times New Roman"/>
      <w:vertAlign w:val="superscript"/>
    </w:rPr>
  </w:style>
  <w:style w:type="character" w:customStyle="1" w:styleId="63">
    <w:name w:val="Heading 1 Char"/>
    <w:basedOn w:val="54"/>
    <w:qFormat/>
    <w:locked/>
    <w:uiPriority w:val="99"/>
    <w:rPr>
      <w:rFonts w:ascii="Times New Roman" w:hAnsi="Times New Roman" w:cs="Times New Roman"/>
      <w:b/>
      <w:bCs/>
      <w:kern w:val="44"/>
      <w:sz w:val="44"/>
      <w:szCs w:val="44"/>
    </w:rPr>
  </w:style>
  <w:style w:type="character" w:customStyle="1" w:styleId="64">
    <w:name w:val="标题 2 Char"/>
    <w:basedOn w:val="54"/>
    <w:link w:val="4"/>
    <w:qFormat/>
    <w:locked/>
    <w:uiPriority w:val="0"/>
    <w:rPr>
      <w:rFonts w:ascii="Arial" w:hAnsi="Arial" w:eastAsia="黑体" w:cs="Times New Roman"/>
      <w:b/>
      <w:bCs/>
      <w:kern w:val="0"/>
      <w:sz w:val="32"/>
      <w:szCs w:val="32"/>
    </w:rPr>
  </w:style>
  <w:style w:type="character" w:customStyle="1" w:styleId="65">
    <w:name w:val="标题 3 Char"/>
    <w:basedOn w:val="54"/>
    <w:link w:val="5"/>
    <w:qFormat/>
    <w:locked/>
    <w:uiPriority w:val="0"/>
    <w:rPr>
      <w:rFonts w:ascii="Times New Roman" w:hAnsi="Times New Roman" w:eastAsia="宋体" w:cs="Times New Roman"/>
      <w:b/>
      <w:bCs/>
      <w:kern w:val="0"/>
      <w:sz w:val="32"/>
      <w:szCs w:val="32"/>
    </w:rPr>
  </w:style>
  <w:style w:type="character" w:customStyle="1" w:styleId="66">
    <w:name w:val="标题 4 Char"/>
    <w:basedOn w:val="54"/>
    <w:link w:val="6"/>
    <w:qFormat/>
    <w:locked/>
    <w:uiPriority w:val="0"/>
    <w:rPr>
      <w:rFonts w:ascii="Arial" w:hAnsi="Arial" w:eastAsia="黑体" w:cs="Times New Roman"/>
      <w:b/>
      <w:bCs/>
      <w:kern w:val="0"/>
      <w:sz w:val="28"/>
      <w:szCs w:val="28"/>
    </w:rPr>
  </w:style>
  <w:style w:type="character" w:customStyle="1" w:styleId="67">
    <w:name w:val="标题 5 Char"/>
    <w:basedOn w:val="54"/>
    <w:link w:val="7"/>
    <w:qFormat/>
    <w:locked/>
    <w:uiPriority w:val="0"/>
    <w:rPr>
      <w:rFonts w:ascii="Times New Roman" w:hAnsi="Times New Roman" w:eastAsia="宋体" w:cs="Times New Roman"/>
      <w:b/>
      <w:bCs/>
      <w:kern w:val="0"/>
      <w:sz w:val="28"/>
      <w:szCs w:val="28"/>
    </w:rPr>
  </w:style>
  <w:style w:type="character" w:customStyle="1" w:styleId="68">
    <w:name w:val="Body Text Char"/>
    <w:basedOn w:val="54"/>
    <w:qFormat/>
    <w:locked/>
    <w:uiPriority w:val="99"/>
    <w:rPr>
      <w:rFonts w:eastAsia="宋体"/>
    </w:rPr>
  </w:style>
  <w:style w:type="character" w:customStyle="1" w:styleId="69">
    <w:name w:val="Body Text First Indent Char"/>
    <w:basedOn w:val="68"/>
    <w:qFormat/>
    <w:locked/>
    <w:uiPriority w:val="99"/>
    <w:rPr>
      <w:rFonts w:eastAsia="宋体"/>
    </w:rPr>
  </w:style>
  <w:style w:type="character" w:customStyle="1" w:styleId="70">
    <w:name w:val="Document Map Char"/>
    <w:basedOn w:val="54"/>
    <w:qFormat/>
    <w:locked/>
    <w:uiPriority w:val="99"/>
    <w:rPr>
      <w:rFonts w:ascii="宋体" w:eastAsia="宋体"/>
      <w:sz w:val="18"/>
      <w:shd w:val="clear" w:color="auto" w:fill="000080"/>
    </w:rPr>
  </w:style>
  <w:style w:type="character" w:customStyle="1" w:styleId="71">
    <w:name w:val="批注文字 Char"/>
    <w:basedOn w:val="54"/>
    <w:link w:val="18"/>
    <w:qFormat/>
    <w:locked/>
    <w:uiPriority w:val="0"/>
    <w:rPr>
      <w:rFonts w:ascii="Times New Roman" w:hAnsi="Times New Roman" w:eastAsia="宋体" w:cs="Times New Roman"/>
      <w:kern w:val="0"/>
      <w:sz w:val="24"/>
      <w:szCs w:val="24"/>
    </w:rPr>
  </w:style>
  <w:style w:type="character" w:customStyle="1" w:styleId="72">
    <w:name w:val="Body Text 3 Char"/>
    <w:basedOn w:val="54"/>
    <w:qFormat/>
    <w:locked/>
    <w:uiPriority w:val="99"/>
    <w:rPr>
      <w:rFonts w:eastAsia="宋体"/>
      <w:sz w:val="16"/>
    </w:rPr>
  </w:style>
  <w:style w:type="character" w:customStyle="1" w:styleId="73">
    <w:name w:val="正文文本缩进 Char"/>
    <w:basedOn w:val="54"/>
    <w:link w:val="22"/>
    <w:qFormat/>
    <w:locked/>
    <w:uiPriority w:val="0"/>
    <w:rPr>
      <w:rFonts w:ascii="Times New Roman" w:hAnsi="Times New Roman" w:eastAsia="宋体" w:cs="Times New Roman"/>
      <w:sz w:val="24"/>
      <w:szCs w:val="24"/>
    </w:rPr>
  </w:style>
  <w:style w:type="character" w:customStyle="1" w:styleId="74">
    <w:name w:val="Plain Text Char"/>
    <w:basedOn w:val="54"/>
    <w:qFormat/>
    <w:locked/>
    <w:uiPriority w:val="99"/>
    <w:rPr>
      <w:rFonts w:ascii="宋体" w:hAnsi="Courier New" w:eastAsia="宋体"/>
      <w:sz w:val="21"/>
    </w:rPr>
  </w:style>
  <w:style w:type="character" w:customStyle="1" w:styleId="75">
    <w:name w:val="Date Char"/>
    <w:basedOn w:val="54"/>
    <w:qFormat/>
    <w:locked/>
    <w:uiPriority w:val="99"/>
    <w:rPr>
      <w:rFonts w:eastAsia="宋体"/>
    </w:rPr>
  </w:style>
  <w:style w:type="character" w:customStyle="1" w:styleId="76">
    <w:name w:val="Body Text Indent 2 Char"/>
    <w:basedOn w:val="54"/>
    <w:qFormat/>
    <w:locked/>
    <w:uiPriority w:val="99"/>
    <w:rPr>
      <w:rFonts w:eastAsia="宋体"/>
    </w:rPr>
  </w:style>
  <w:style w:type="character" w:customStyle="1" w:styleId="77">
    <w:name w:val="Balloon Text Char"/>
    <w:basedOn w:val="54"/>
    <w:semiHidden/>
    <w:qFormat/>
    <w:locked/>
    <w:uiPriority w:val="99"/>
    <w:rPr>
      <w:rFonts w:eastAsia="宋体"/>
      <w:sz w:val="18"/>
    </w:rPr>
  </w:style>
  <w:style w:type="character" w:customStyle="1" w:styleId="78">
    <w:name w:val="页脚 Char"/>
    <w:basedOn w:val="54"/>
    <w:link w:val="34"/>
    <w:qFormat/>
    <w:locked/>
    <w:uiPriority w:val="99"/>
    <w:rPr>
      <w:rFonts w:cs="Times New Roman"/>
      <w:sz w:val="18"/>
      <w:szCs w:val="18"/>
    </w:rPr>
  </w:style>
  <w:style w:type="character" w:customStyle="1" w:styleId="79">
    <w:name w:val="页眉 Char"/>
    <w:basedOn w:val="54"/>
    <w:link w:val="35"/>
    <w:qFormat/>
    <w:uiPriority w:val="0"/>
    <w:rPr>
      <w:rFonts w:ascii="Times New Roman" w:hAnsi="Times New Roman"/>
      <w:sz w:val="18"/>
      <w:szCs w:val="18"/>
    </w:rPr>
  </w:style>
  <w:style w:type="character" w:customStyle="1" w:styleId="80">
    <w:name w:val="Footnote Text Char"/>
    <w:basedOn w:val="54"/>
    <w:qFormat/>
    <w:locked/>
    <w:uiPriority w:val="99"/>
    <w:rPr>
      <w:rFonts w:eastAsia="宋体"/>
      <w:sz w:val="18"/>
    </w:rPr>
  </w:style>
  <w:style w:type="character" w:customStyle="1" w:styleId="81">
    <w:name w:val="Body Text Indent 3 Char"/>
    <w:basedOn w:val="54"/>
    <w:qFormat/>
    <w:locked/>
    <w:uiPriority w:val="99"/>
    <w:rPr>
      <w:rFonts w:eastAsia="宋体"/>
      <w:sz w:val="16"/>
    </w:rPr>
  </w:style>
  <w:style w:type="character" w:customStyle="1" w:styleId="82">
    <w:name w:val="Heading 1 Char2"/>
    <w:basedOn w:val="54"/>
    <w:qFormat/>
    <w:locked/>
    <w:uiPriority w:val="99"/>
    <w:rPr>
      <w:rFonts w:ascii="Arial" w:hAnsi="Arial" w:eastAsia="宋体" w:cs="Times New Roman"/>
      <w:b/>
      <w:kern w:val="0"/>
      <w:sz w:val="20"/>
      <w:szCs w:val="20"/>
    </w:rPr>
  </w:style>
  <w:style w:type="character" w:customStyle="1" w:styleId="83">
    <w:name w:val="标题 1 Char"/>
    <w:basedOn w:val="54"/>
    <w:link w:val="3"/>
    <w:qFormat/>
    <w:locked/>
    <w:uiPriority w:val="0"/>
    <w:rPr>
      <w:rFonts w:ascii="Times New Roman" w:hAnsi="Times New Roman" w:eastAsia="黑体" w:cs="Times New Roman"/>
      <w:b/>
      <w:kern w:val="0"/>
      <w:sz w:val="20"/>
      <w:szCs w:val="20"/>
    </w:rPr>
  </w:style>
  <w:style w:type="character" w:customStyle="1" w:styleId="84">
    <w:name w:val="font161"/>
    <w:qFormat/>
    <w:uiPriority w:val="0"/>
    <w:rPr>
      <w:b/>
      <w:sz w:val="32"/>
    </w:rPr>
  </w:style>
  <w:style w:type="paragraph" w:customStyle="1" w:styleId="8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character" w:customStyle="1" w:styleId="86">
    <w:name w:val="Plain Text Char1"/>
    <w:basedOn w:val="54"/>
    <w:semiHidden/>
    <w:qFormat/>
    <w:locked/>
    <w:uiPriority w:val="99"/>
    <w:rPr>
      <w:rFonts w:ascii="宋体" w:hAnsi="Courier New" w:cs="Courier New"/>
      <w:sz w:val="21"/>
      <w:szCs w:val="21"/>
    </w:rPr>
  </w:style>
  <w:style w:type="character" w:customStyle="1" w:styleId="87">
    <w:name w:val="纯文本 Char"/>
    <w:basedOn w:val="54"/>
    <w:link w:val="27"/>
    <w:qFormat/>
    <w:locked/>
    <w:uiPriority w:val="0"/>
    <w:rPr>
      <w:rFonts w:ascii="宋体" w:hAnsi="Courier New" w:eastAsia="宋体" w:cs="Courier New"/>
      <w:sz w:val="21"/>
      <w:szCs w:val="21"/>
    </w:rPr>
  </w:style>
  <w:style w:type="character" w:customStyle="1" w:styleId="88">
    <w:name w:val="Footnote Text Char1"/>
    <w:basedOn w:val="54"/>
    <w:semiHidden/>
    <w:qFormat/>
    <w:locked/>
    <w:uiPriority w:val="99"/>
    <w:rPr>
      <w:rFonts w:ascii="Times New Roman" w:hAnsi="Times New Roman" w:cs="Times New Roman"/>
      <w:sz w:val="18"/>
      <w:szCs w:val="18"/>
    </w:rPr>
  </w:style>
  <w:style w:type="character" w:customStyle="1" w:styleId="89">
    <w:name w:val="脚注文本 Char"/>
    <w:basedOn w:val="54"/>
    <w:link w:val="39"/>
    <w:qFormat/>
    <w:locked/>
    <w:uiPriority w:val="0"/>
    <w:rPr>
      <w:rFonts w:ascii="Times New Roman" w:hAnsi="Times New Roman" w:eastAsia="宋体" w:cs="Times New Roman"/>
      <w:sz w:val="18"/>
      <w:szCs w:val="18"/>
    </w:rPr>
  </w:style>
  <w:style w:type="character" w:customStyle="1" w:styleId="90">
    <w:name w:val="Body Text Char1"/>
    <w:basedOn w:val="54"/>
    <w:semiHidden/>
    <w:qFormat/>
    <w:locked/>
    <w:uiPriority w:val="99"/>
    <w:rPr>
      <w:rFonts w:ascii="Times New Roman" w:hAnsi="Times New Roman" w:cs="Times New Roman"/>
      <w:sz w:val="24"/>
      <w:szCs w:val="24"/>
    </w:rPr>
  </w:style>
  <w:style w:type="character" w:customStyle="1" w:styleId="91">
    <w:name w:val="Body Text First Indent Char1"/>
    <w:basedOn w:val="68"/>
    <w:semiHidden/>
    <w:qFormat/>
    <w:locked/>
    <w:uiPriority w:val="99"/>
    <w:rPr>
      <w:rFonts w:ascii="Times New Roman" w:hAnsi="Times New Roman" w:eastAsia="宋体" w:cs="Times New Roman"/>
      <w:sz w:val="24"/>
      <w:szCs w:val="24"/>
    </w:rPr>
  </w:style>
  <w:style w:type="character" w:customStyle="1" w:styleId="92">
    <w:name w:val="正文文本 Char"/>
    <w:basedOn w:val="54"/>
    <w:link w:val="2"/>
    <w:qFormat/>
    <w:locked/>
    <w:uiPriority w:val="0"/>
    <w:rPr>
      <w:rFonts w:ascii="Times New Roman" w:hAnsi="Times New Roman" w:eastAsia="宋体" w:cs="Times New Roman"/>
      <w:sz w:val="24"/>
      <w:szCs w:val="24"/>
    </w:rPr>
  </w:style>
  <w:style w:type="character" w:customStyle="1" w:styleId="93">
    <w:name w:val="正文首行缩进 Char"/>
    <w:basedOn w:val="92"/>
    <w:link w:val="50"/>
    <w:qFormat/>
    <w:locked/>
    <w:uiPriority w:val="0"/>
    <w:rPr>
      <w:rFonts w:ascii="Times New Roman" w:hAnsi="Times New Roman" w:eastAsia="宋体" w:cs="Times New Roman"/>
      <w:sz w:val="24"/>
      <w:szCs w:val="24"/>
    </w:rPr>
  </w:style>
  <w:style w:type="character" w:customStyle="1" w:styleId="94">
    <w:name w:val="Document Map Char1"/>
    <w:basedOn w:val="54"/>
    <w:semiHidden/>
    <w:qFormat/>
    <w:locked/>
    <w:uiPriority w:val="99"/>
    <w:rPr>
      <w:rFonts w:ascii="Times New Roman" w:hAnsi="Times New Roman" w:cs="Times New Roman"/>
      <w:sz w:val="2"/>
    </w:rPr>
  </w:style>
  <w:style w:type="character" w:customStyle="1" w:styleId="95">
    <w:name w:val="文档结构图 Char"/>
    <w:basedOn w:val="54"/>
    <w:link w:val="17"/>
    <w:qFormat/>
    <w:locked/>
    <w:uiPriority w:val="0"/>
    <w:rPr>
      <w:rFonts w:ascii="宋体" w:hAnsi="Times New Roman" w:eastAsia="宋体" w:cs="Times New Roman"/>
      <w:sz w:val="18"/>
      <w:szCs w:val="18"/>
    </w:rPr>
  </w:style>
  <w:style w:type="character" w:customStyle="1" w:styleId="96">
    <w:name w:val="Date Char1"/>
    <w:basedOn w:val="54"/>
    <w:semiHidden/>
    <w:qFormat/>
    <w:locked/>
    <w:uiPriority w:val="99"/>
    <w:rPr>
      <w:rFonts w:ascii="Times New Roman" w:hAnsi="Times New Roman" w:cs="Times New Roman"/>
      <w:sz w:val="24"/>
      <w:szCs w:val="24"/>
    </w:rPr>
  </w:style>
  <w:style w:type="character" w:customStyle="1" w:styleId="97">
    <w:name w:val="日期 Char"/>
    <w:basedOn w:val="54"/>
    <w:link w:val="30"/>
    <w:qFormat/>
    <w:locked/>
    <w:uiPriority w:val="0"/>
    <w:rPr>
      <w:rFonts w:ascii="Times New Roman" w:hAnsi="Times New Roman" w:eastAsia="宋体" w:cs="Times New Roman"/>
      <w:sz w:val="24"/>
      <w:szCs w:val="24"/>
    </w:rPr>
  </w:style>
  <w:style w:type="character" w:customStyle="1" w:styleId="98">
    <w:name w:val="Body Text Indent 2 Char1"/>
    <w:basedOn w:val="54"/>
    <w:semiHidden/>
    <w:qFormat/>
    <w:locked/>
    <w:uiPriority w:val="99"/>
    <w:rPr>
      <w:rFonts w:ascii="Times New Roman" w:hAnsi="Times New Roman" w:cs="Times New Roman"/>
      <w:sz w:val="24"/>
      <w:szCs w:val="24"/>
    </w:rPr>
  </w:style>
  <w:style w:type="character" w:customStyle="1" w:styleId="99">
    <w:name w:val="正文文本缩进 2 Char"/>
    <w:basedOn w:val="54"/>
    <w:link w:val="31"/>
    <w:qFormat/>
    <w:locked/>
    <w:uiPriority w:val="0"/>
    <w:rPr>
      <w:rFonts w:ascii="Times New Roman" w:hAnsi="Times New Roman" w:eastAsia="宋体" w:cs="Times New Roman"/>
      <w:sz w:val="24"/>
      <w:szCs w:val="24"/>
    </w:rPr>
  </w:style>
  <w:style w:type="character" w:customStyle="1" w:styleId="100">
    <w:name w:val="Body Text 3 Char1"/>
    <w:basedOn w:val="54"/>
    <w:semiHidden/>
    <w:qFormat/>
    <w:locked/>
    <w:uiPriority w:val="99"/>
    <w:rPr>
      <w:rFonts w:ascii="Times New Roman" w:hAnsi="Times New Roman" w:cs="Times New Roman"/>
      <w:sz w:val="16"/>
      <w:szCs w:val="16"/>
    </w:rPr>
  </w:style>
  <w:style w:type="character" w:customStyle="1" w:styleId="101">
    <w:name w:val="正文文本 3 Char"/>
    <w:basedOn w:val="54"/>
    <w:link w:val="20"/>
    <w:qFormat/>
    <w:locked/>
    <w:uiPriority w:val="0"/>
    <w:rPr>
      <w:rFonts w:ascii="Times New Roman" w:hAnsi="Times New Roman" w:eastAsia="宋体" w:cs="Times New Roman"/>
      <w:sz w:val="16"/>
      <w:szCs w:val="16"/>
    </w:rPr>
  </w:style>
  <w:style w:type="character" w:customStyle="1" w:styleId="102">
    <w:name w:val="Body Text Indent 3 Char1"/>
    <w:basedOn w:val="54"/>
    <w:semiHidden/>
    <w:qFormat/>
    <w:locked/>
    <w:uiPriority w:val="99"/>
    <w:rPr>
      <w:rFonts w:ascii="Times New Roman" w:hAnsi="Times New Roman" w:cs="Times New Roman"/>
      <w:sz w:val="16"/>
      <w:szCs w:val="16"/>
    </w:rPr>
  </w:style>
  <w:style w:type="character" w:customStyle="1" w:styleId="103">
    <w:name w:val="正文文本缩进 3 Char"/>
    <w:basedOn w:val="54"/>
    <w:link w:val="41"/>
    <w:qFormat/>
    <w:locked/>
    <w:uiPriority w:val="0"/>
    <w:rPr>
      <w:rFonts w:ascii="Times New Roman" w:hAnsi="Times New Roman" w:eastAsia="宋体" w:cs="Times New Roman"/>
      <w:sz w:val="16"/>
      <w:szCs w:val="16"/>
    </w:rPr>
  </w:style>
  <w:style w:type="character" w:customStyle="1" w:styleId="104">
    <w:name w:val="Balloon Text Char1"/>
    <w:basedOn w:val="54"/>
    <w:semiHidden/>
    <w:qFormat/>
    <w:locked/>
    <w:uiPriority w:val="99"/>
    <w:rPr>
      <w:rFonts w:ascii="Times New Roman" w:hAnsi="Times New Roman" w:cs="Times New Roman"/>
      <w:sz w:val="2"/>
    </w:rPr>
  </w:style>
  <w:style w:type="character" w:customStyle="1" w:styleId="105">
    <w:name w:val="批注框文本 Char"/>
    <w:basedOn w:val="54"/>
    <w:link w:val="33"/>
    <w:qFormat/>
    <w:locked/>
    <w:uiPriority w:val="0"/>
    <w:rPr>
      <w:rFonts w:ascii="Times New Roman" w:hAnsi="Times New Roman" w:eastAsia="宋体" w:cs="Times New Roman"/>
      <w:sz w:val="18"/>
      <w:szCs w:val="18"/>
    </w:rPr>
  </w:style>
  <w:style w:type="paragraph" w:customStyle="1" w:styleId="106">
    <w:name w:val="Char Char Char Char"/>
    <w:basedOn w:val="1"/>
    <w:qFormat/>
    <w:uiPriority w:val="0"/>
    <w:rPr>
      <w:szCs w:val="20"/>
    </w:rPr>
  </w:style>
  <w:style w:type="character" w:customStyle="1" w:styleId="107">
    <w:name w:val="普通(网站) Char"/>
    <w:link w:val="46"/>
    <w:qFormat/>
    <w:locked/>
    <w:uiPriority w:val="0"/>
    <w:rPr>
      <w:rFonts w:ascii="宋体" w:hAnsi="宋体" w:eastAsia="宋体"/>
      <w:kern w:val="0"/>
      <w:sz w:val="24"/>
    </w:rPr>
  </w:style>
  <w:style w:type="character" w:customStyle="1" w:styleId="108">
    <w:name w:val="p148"/>
    <w:qFormat/>
    <w:uiPriority w:val="99"/>
  </w:style>
  <w:style w:type="paragraph" w:customStyle="1" w:styleId="10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10">
    <w:name w:val="表头"/>
    <w:basedOn w:val="1"/>
    <w:qFormat/>
    <w:uiPriority w:val="0"/>
    <w:pPr>
      <w:adjustRightInd w:val="0"/>
      <w:spacing w:before="60" w:after="60" w:line="420" w:lineRule="atLeast"/>
      <w:jc w:val="left"/>
      <w:textAlignment w:val="baseline"/>
    </w:pPr>
    <w:rPr>
      <w:rFonts w:ascii="黑体" w:eastAsia="黑体"/>
      <w:b/>
      <w:kern w:val="0"/>
      <w:szCs w:val="20"/>
    </w:rPr>
  </w:style>
  <w:style w:type="paragraph" w:customStyle="1" w:styleId="111">
    <w:name w:val="表中"/>
    <w:basedOn w:val="1"/>
    <w:qFormat/>
    <w:uiPriority w:val="0"/>
    <w:pPr>
      <w:adjustRightInd w:val="0"/>
      <w:spacing w:line="360" w:lineRule="atLeast"/>
      <w:jc w:val="center"/>
      <w:textAlignment w:val="baseline"/>
    </w:pPr>
    <w:rPr>
      <w:kern w:val="0"/>
      <w:szCs w:val="20"/>
    </w:rPr>
  </w:style>
  <w:style w:type="paragraph" w:customStyle="1" w:styleId="112">
    <w:name w:val="List Paragraph1"/>
    <w:basedOn w:val="1"/>
    <w:qFormat/>
    <w:uiPriority w:val="99"/>
    <w:pPr>
      <w:ind w:firstLine="420" w:firstLineChars="200"/>
    </w:pPr>
  </w:style>
  <w:style w:type="paragraph" w:customStyle="1" w:styleId="113">
    <w:name w:val="内正文"/>
    <w:basedOn w:val="1"/>
    <w:qFormat/>
    <w:uiPriority w:val="0"/>
    <w:pPr>
      <w:ind w:firstLine="420"/>
    </w:pPr>
    <w:rPr>
      <w:rFonts w:eastAsia="文鼎CS书宋二"/>
      <w:szCs w:val="20"/>
    </w:rPr>
  </w:style>
  <w:style w:type="paragraph" w:customStyle="1" w:styleId="114">
    <w:name w:val="普通文字"/>
    <w:basedOn w:val="1"/>
    <w:qFormat/>
    <w:uiPriority w:val="99"/>
    <w:rPr>
      <w:rFonts w:ascii="宋体" w:hAnsi="Courier New" w:cs="宋体"/>
      <w:szCs w:val="21"/>
    </w:rPr>
  </w:style>
  <w:style w:type="paragraph" w:customStyle="1" w:styleId="115">
    <w:name w:val="样式"/>
    <w:basedOn w:val="1"/>
    <w:next w:val="114"/>
    <w:qFormat/>
    <w:uiPriority w:val="0"/>
    <w:rPr>
      <w:rFonts w:ascii="宋体" w:hAnsi="Courier New" w:cs="宋体"/>
      <w:szCs w:val="21"/>
    </w:rPr>
  </w:style>
  <w:style w:type="paragraph" w:customStyle="1" w:styleId="116">
    <w:name w:val="Char"/>
    <w:basedOn w:val="1"/>
    <w:link w:val="121"/>
    <w:qFormat/>
    <w:uiPriority w:val="0"/>
  </w:style>
  <w:style w:type="paragraph" w:customStyle="1" w:styleId="117">
    <w:name w:val="Char1"/>
    <w:basedOn w:val="1"/>
    <w:qFormat/>
    <w:uiPriority w:val="0"/>
  </w:style>
  <w:style w:type="character" w:customStyle="1" w:styleId="118">
    <w:name w:val="标题 3 字符"/>
    <w:qFormat/>
    <w:locked/>
    <w:uiPriority w:val="99"/>
    <w:rPr>
      <w:rFonts w:ascii="Times New Roman" w:hAnsi="Times New Roman" w:eastAsia="宋体" w:cs="Times New Roman"/>
      <w:b/>
      <w:bCs/>
      <w:kern w:val="0"/>
      <w:sz w:val="32"/>
      <w:szCs w:val="32"/>
    </w:rPr>
  </w:style>
  <w:style w:type="paragraph" w:customStyle="1" w:styleId="119">
    <w:name w:val="样式1"/>
    <w:basedOn w:val="1"/>
    <w:qFormat/>
    <w:uiPriority w:val="0"/>
    <w:pPr>
      <w:spacing w:line="360" w:lineRule="auto"/>
      <w:ind w:firstLine="422" w:firstLineChars="200"/>
      <w:jc w:val="left"/>
      <w:outlineLvl w:val="3"/>
    </w:pPr>
    <w:rPr>
      <w:b/>
      <w:szCs w:val="21"/>
    </w:rPr>
  </w:style>
  <w:style w:type="paragraph" w:customStyle="1" w:styleId="120">
    <w:name w:val="Table Paragraph"/>
    <w:basedOn w:val="1"/>
    <w:qFormat/>
    <w:uiPriority w:val="1"/>
    <w:rPr>
      <w:rFonts w:ascii="宋体" w:hAnsi="宋体" w:cs="宋体"/>
    </w:rPr>
  </w:style>
  <w:style w:type="character" w:customStyle="1" w:styleId="121">
    <w:name w:val="Char Char"/>
    <w:link w:val="116"/>
    <w:qFormat/>
    <w:locked/>
    <w:uiPriority w:val="0"/>
    <w:rPr>
      <w:rFonts w:ascii="Times New Roman" w:hAnsi="Times New Roman"/>
      <w:kern w:val="2"/>
      <w:sz w:val="21"/>
      <w:szCs w:val="24"/>
    </w:rPr>
  </w:style>
  <w:style w:type="paragraph" w:customStyle="1" w:styleId="122">
    <w:name w:val="表格"/>
    <w:basedOn w:val="1"/>
    <w:link w:val="160"/>
    <w:qFormat/>
    <w:uiPriority w:val="0"/>
    <w:pPr>
      <w:textAlignment w:val="center"/>
    </w:pPr>
    <w:rPr>
      <w:rFonts w:ascii="华文细黑" w:hAnsi="华文细黑"/>
      <w:kern w:val="0"/>
      <w:szCs w:val="20"/>
    </w:rPr>
  </w:style>
  <w:style w:type="paragraph" w:customStyle="1" w:styleId="123">
    <w:name w:val="正文 题目"/>
    <w:basedOn w:val="1"/>
    <w:qFormat/>
    <w:uiPriority w:val="0"/>
    <w:pPr>
      <w:jc w:val="center"/>
    </w:pPr>
    <w:rPr>
      <w:rFonts w:ascii="黑体" w:hAnsi="黑体" w:eastAsia="黑体"/>
      <w:sz w:val="28"/>
    </w:rPr>
  </w:style>
  <w:style w:type="paragraph" w:customStyle="1" w:styleId="124">
    <w:name w:val="列表段落1"/>
    <w:basedOn w:val="1"/>
    <w:qFormat/>
    <w:uiPriority w:val="99"/>
  </w:style>
  <w:style w:type="paragraph" w:customStyle="1" w:styleId="125">
    <w:name w:val="p16"/>
    <w:basedOn w:val="1"/>
    <w:qFormat/>
    <w:uiPriority w:val="0"/>
    <w:pPr>
      <w:widowControl/>
      <w:snapToGrid w:val="0"/>
      <w:jc w:val="left"/>
    </w:pPr>
    <w:rPr>
      <w:rFonts w:ascii="楷体_GB2312" w:hAnsi="宋体" w:eastAsia="楷体_GB2312" w:cs="宋体"/>
      <w:color w:val="000000"/>
      <w:kern w:val="0"/>
      <w:sz w:val="24"/>
    </w:rPr>
  </w:style>
  <w:style w:type="character" w:customStyle="1" w:styleId="126">
    <w:name w:val="批注主题 Char"/>
    <w:basedOn w:val="71"/>
    <w:link w:val="49"/>
    <w:qFormat/>
    <w:uiPriority w:val="0"/>
    <w:rPr>
      <w:rFonts w:ascii="宋体" w:hAnsi="Calibri"/>
      <w:b/>
      <w:bCs/>
      <w:kern w:val="2"/>
      <w:sz w:val="21"/>
    </w:rPr>
  </w:style>
  <w:style w:type="character" w:customStyle="1" w:styleId="127">
    <w:name w:val="批注主题 Char1"/>
    <w:basedOn w:val="71"/>
    <w:qFormat/>
    <w:uiPriority w:val="0"/>
    <w:rPr>
      <w:b/>
      <w:bCs/>
      <w:kern w:val="2"/>
      <w:sz w:val="21"/>
    </w:rPr>
  </w:style>
  <w:style w:type="paragraph" w:customStyle="1" w:styleId="128">
    <w:name w:val="1"/>
    <w:basedOn w:val="1"/>
    <w:next w:val="1"/>
    <w:qFormat/>
    <w:uiPriority w:val="0"/>
  </w:style>
  <w:style w:type="character" w:customStyle="1" w:styleId="129">
    <w:name w:val="标题 6 Char"/>
    <w:basedOn w:val="54"/>
    <w:link w:val="8"/>
    <w:qFormat/>
    <w:uiPriority w:val="0"/>
    <w:rPr>
      <w:rFonts w:ascii="Arial" w:hAnsi="Arial" w:eastAsia="黑体"/>
      <w:b/>
      <w:bCs/>
      <w:sz w:val="24"/>
      <w:szCs w:val="24"/>
    </w:rPr>
  </w:style>
  <w:style w:type="character" w:customStyle="1" w:styleId="130">
    <w:name w:val="标题 7 Char"/>
    <w:basedOn w:val="54"/>
    <w:link w:val="9"/>
    <w:qFormat/>
    <w:uiPriority w:val="0"/>
    <w:rPr>
      <w:b/>
      <w:bCs/>
      <w:sz w:val="24"/>
      <w:szCs w:val="24"/>
    </w:rPr>
  </w:style>
  <w:style w:type="character" w:customStyle="1" w:styleId="131">
    <w:name w:val="标题 8 Char"/>
    <w:basedOn w:val="54"/>
    <w:link w:val="10"/>
    <w:qFormat/>
    <w:uiPriority w:val="0"/>
    <w:rPr>
      <w:rFonts w:ascii="Arial" w:hAnsi="Arial" w:eastAsia="黑体"/>
      <w:sz w:val="24"/>
      <w:szCs w:val="24"/>
    </w:rPr>
  </w:style>
  <w:style w:type="character" w:customStyle="1" w:styleId="132">
    <w:name w:val="标题 9 Char"/>
    <w:basedOn w:val="54"/>
    <w:link w:val="11"/>
    <w:qFormat/>
    <w:uiPriority w:val="0"/>
    <w:rPr>
      <w:rFonts w:ascii="Arial" w:hAnsi="Arial" w:eastAsia="黑体"/>
      <w:sz w:val="21"/>
      <w:szCs w:val="21"/>
    </w:rPr>
  </w:style>
  <w:style w:type="character" w:customStyle="1" w:styleId="133">
    <w:name w:val="15"/>
    <w:basedOn w:val="54"/>
    <w:qFormat/>
    <w:uiPriority w:val="0"/>
    <w:rPr>
      <w:rFonts w:hint="eastAsia" w:ascii="黑体" w:hAnsi="宋体" w:eastAsia="黑体"/>
      <w:b/>
      <w:bCs/>
      <w:kern w:val="2"/>
      <w:sz w:val="32"/>
      <w:szCs w:val="32"/>
    </w:rPr>
  </w:style>
  <w:style w:type="paragraph" w:customStyle="1" w:styleId="134">
    <w:name w:val="默认段落字体 Para Char Char Char Char Char Char Char Char Char Char Char Char Char Char Char1 Char"/>
    <w:basedOn w:val="17"/>
    <w:qFormat/>
    <w:uiPriority w:val="0"/>
    <w:pPr>
      <w:shd w:val="clear" w:color="auto" w:fill="auto"/>
    </w:pPr>
    <w:rPr>
      <w:rFonts w:ascii="Times New Roman" w:hAnsi="Times New Roman"/>
      <w:sz w:val="21"/>
      <w:szCs w:val="24"/>
    </w:rPr>
  </w:style>
  <w:style w:type="paragraph" w:customStyle="1" w:styleId="135">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136">
    <w:name w:val="MSG_EN_FONT_STYLE_NAME_TEMPLATE_ROLE_NUMBER MSG_EN_FONT_STYLE_NAME_BY_ROLE_TEXT 14"/>
    <w:basedOn w:val="1"/>
    <w:qFormat/>
    <w:uiPriority w:val="0"/>
    <w:pPr>
      <w:shd w:val="clear" w:color="auto" w:fill="FFFFFF"/>
      <w:spacing w:before="480" w:line="319" w:lineRule="exact"/>
      <w:jc w:val="distribute"/>
    </w:pPr>
    <w:rPr>
      <w:rFonts w:ascii="PMingLiU" w:hAnsi="PMingLiU" w:eastAsia="PMingLiU" w:cs="PMingLiU"/>
      <w:kern w:val="0"/>
      <w:sz w:val="18"/>
      <w:szCs w:val="18"/>
    </w:rPr>
  </w:style>
  <w:style w:type="paragraph" w:customStyle="1" w:styleId="137">
    <w:name w:val="正文3"/>
    <w:qFormat/>
    <w:uiPriority w:val="0"/>
    <w:pPr>
      <w:jc w:val="both"/>
    </w:pPr>
    <w:rPr>
      <w:rFonts w:ascii="Calibri" w:hAnsi="Calibri" w:eastAsia="宋体" w:cs="宋体"/>
      <w:kern w:val="2"/>
      <w:sz w:val="21"/>
      <w:szCs w:val="21"/>
      <w:lang w:val="en-US" w:eastAsia="zh-CN" w:bidi="ar-SA"/>
    </w:rPr>
  </w:style>
  <w:style w:type="paragraph" w:customStyle="1" w:styleId="138">
    <w:name w:val="修订1"/>
    <w:hidden/>
    <w:unhideWhenUsed/>
    <w:qFormat/>
    <w:uiPriority w:val="0"/>
    <w:rPr>
      <w:rFonts w:ascii="Times New Roman" w:hAnsi="Times New Roman" w:eastAsia="宋体" w:cs="Times New Roman"/>
      <w:kern w:val="2"/>
      <w:sz w:val="21"/>
      <w:szCs w:val="24"/>
      <w:lang w:val="en-US" w:eastAsia="zh-CN" w:bidi="ar-SA"/>
    </w:rPr>
  </w:style>
  <w:style w:type="character" w:customStyle="1" w:styleId="139">
    <w:name w:val="尾注文本 Char"/>
    <w:link w:val="32"/>
    <w:qFormat/>
    <w:uiPriority w:val="0"/>
    <w:rPr>
      <w:szCs w:val="24"/>
    </w:rPr>
  </w:style>
  <w:style w:type="character" w:customStyle="1" w:styleId="140">
    <w:name w:val="font01"/>
    <w:qFormat/>
    <w:uiPriority w:val="0"/>
    <w:rPr>
      <w:rFonts w:hint="eastAsia" w:ascii="宋体" w:hAnsi="宋体" w:eastAsia="宋体"/>
      <w:color w:val="000000"/>
      <w:sz w:val="24"/>
      <w:szCs w:val="24"/>
      <w:u w:val="none"/>
    </w:rPr>
  </w:style>
  <w:style w:type="character" w:customStyle="1" w:styleId="141">
    <w:name w:val="称呼 Char"/>
    <w:link w:val="19"/>
    <w:qFormat/>
    <w:uiPriority w:val="0"/>
    <w:rPr>
      <w:b/>
      <w:sz w:val="24"/>
    </w:rPr>
  </w:style>
  <w:style w:type="character" w:customStyle="1" w:styleId="142">
    <w:name w:val="Char Char8"/>
    <w:qFormat/>
    <w:uiPriority w:val="0"/>
    <w:rPr>
      <w:rFonts w:ascii="宋体"/>
      <w:kern w:val="2"/>
      <w:sz w:val="24"/>
    </w:rPr>
  </w:style>
  <w:style w:type="character" w:customStyle="1" w:styleId="143">
    <w:name w:val="Char Char6"/>
    <w:qFormat/>
    <w:uiPriority w:val="0"/>
    <w:rPr>
      <w:rFonts w:eastAsia="宋体"/>
      <w:b/>
      <w:sz w:val="32"/>
      <w:lang w:val="en-US" w:eastAsia="zh-CN" w:bidi="ar-SA"/>
    </w:rPr>
  </w:style>
  <w:style w:type="character" w:customStyle="1" w:styleId="144">
    <w:name w:val="font31"/>
    <w:qFormat/>
    <w:uiPriority w:val="0"/>
    <w:rPr>
      <w:rFonts w:hint="default" w:ascii="Times New Roman" w:hAnsi="Times New Roman" w:cs="Times New Roman"/>
      <w:color w:val="000000"/>
      <w:sz w:val="21"/>
      <w:szCs w:val="21"/>
      <w:u w:val="none"/>
    </w:rPr>
  </w:style>
  <w:style w:type="character" w:customStyle="1" w:styleId="145">
    <w:name w:val="页脚 Char1"/>
    <w:qFormat/>
    <w:uiPriority w:val="0"/>
    <w:rPr>
      <w:rFonts w:ascii="Times New Roman" w:hAnsi="Times New Roman"/>
      <w:kern w:val="2"/>
      <w:sz w:val="18"/>
      <w:szCs w:val="18"/>
    </w:rPr>
  </w:style>
  <w:style w:type="character" w:customStyle="1" w:styleId="146">
    <w:name w:val="s1"/>
    <w:qFormat/>
    <w:uiPriority w:val="0"/>
    <w:rPr>
      <w:sz w:val="18"/>
      <w:szCs w:val="18"/>
    </w:rPr>
  </w:style>
  <w:style w:type="character" w:customStyle="1" w:styleId="147">
    <w:name w:val="unnamed11"/>
    <w:qFormat/>
    <w:uiPriority w:val="0"/>
    <w:rPr>
      <w:sz w:val="18"/>
      <w:szCs w:val="18"/>
      <w:u w:val="none"/>
    </w:rPr>
  </w:style>
  <w:style w:type="character" w:customStyle="1" w:styleId="148">
    <w:name w:val="文 Char Char"/>
    <w:qFormat/>
    <w:uiPriority w:val="0"/>
    <w:rPr>
      <w:rFonts w:ascii="宋体" w:hAnsi="宋体" w:eastAsia="宋体"/>
      <w:color w:val="000000"/>
      <w:kern w:val="2"/>
      <w:sz w:val="24"/>
      <w:szCs w:val="24"/>
      <w:lang w:val="zh-CN" w:eastAsia="zh-CN" w:bidi="ar-SA"/>
    </w:rPr>
  </w:style>
  <w:style w:type="character" w:customStyle="1" w:styleId="149">
    <w:name w:val="font91"/>
    <w:qFormat/>
    <w:uiPriority w:val="0"/>
    <w:rPr>
      <w:rFonts w:hint="eastAsia" w:ascii="黑体" w:hAnsi="宋体" w:eastAsia="黑体" w:cs="黑体"/>
      <w:color w:val="000000"/>
      <w:sz w:val="22"/>
      <w:szCs w:val="22"/>
      <w:u w:val="none"/>
      <w:vertAlign w:val="superscript"/>
    </w:rPr>
  </w:style>
  <w:style w:type="character" w:customStyle="1" w:styleId="150">
    <w:name w:val="font81"/>
    <w:qFormat/>
    <w:uiPriority w:val="0"/>
    <w:rPr>
      <w:rFonts w:hint="eastAsia" w:ascii="黑体" w:hAnsi="宋体" w:eastAsia="黑体" w:cs="黑体"/>
      <w:color w:val="000000"/>
      <w:sz w:val="20"/>
      <w:szCs w:val="20"/>
      <w:u w:val="none"/>
      <w:vertAlign w:val="superscript"/>
    </w:rPr>
  </w:style>
  <w:style w:type="character" w:customStyle="1" w:styleId="151">
    <w:name w:val="数字"/>
    <w:qFormat/>
    <w:uiPriority w:val="0"/>
    <w:rPr>
      <w:rFonts w:eastAsia="黑体"/>
      <w:b/>
      <w:sz w:val="21"/>
    </w:rPr>
  </w:style>
  <w:style w:type="character" w:customStyle="1" w:styleId="152">
    <w:name w:val="四级标题 Char Char"/>
    <w:link w:val="153"/>
    <w:qFormat/>
    <w:uiPriority w:val="0"/>
    <w:rPr>
      <w:rFonts w:ascii="宋体" w:hAnsi="宋体"/>
      <w:b/>
      <w:color w:val="000000"/>
      <w:sz w:val="24"/>
      <w:szCs w:val="24"/>
    </w:rPr>
  </w:style>
  <w:style w:type="paragraph" w:customStyle="1" w:styleId="153">
    <w:name w:val="四级标题"/>
    <w:basedOn w:val="1"/>
    <w:next w:val="1"/>
    <w:link w:val="152"/>
    <w:qFormat/>
    <w:uiPriority w:val="0"/>
    <w:pPr>
      <w:widowControl/>
      <w:spacing w:line="360" w:lineRule="auto"/>
      <w:ind w:firstLine="482" w:firstLineChars="200"/>
      <w:jc w:val="left"/>
      <w:outlineLvl w:val="3"/>
    </w:pPr>
    <w:rPr>
      <w:rFonts w:ascii="宋体" w:hAnsi="宋体"/>
      <w:b/>
      <w:color w:val="000000"/>
      <w:kern w:val="0"/>
      <w:sz w:val="24"/>
    </w:rPr>
  </w:style>
  <w:style w:type="character" w:customStyle="1" w:styleId="154">
    <w:name w:val="三级标题 Char Char"/>
    <w:link w:val="155"/>
    <w:qFormat/>
    <w:uiPriority w:val="0"/>
    <w:rPr>
      <w:b/>
      <w:color w:val="333333"/>
      <w:sz w:val="24"/>
      <w:szCs w:val="24"/>
    </w:rPr>
  </w:style>
  <w:style w:type="paragraph" w:customStyle="1" w:styleId="155">
    <w:name w:val="三级标题"/>
    <w:basedOn w:val="1"/>
    <w:link w:val="154"/>
    <w:qFormat/>
    <w:uiPriority w:val="0"/>
    <w:pPr>
      <w:widowControl/>
      <w:spacing w:line="360" w:lineRule="auto"/>
      <w:jc w:val="left"/>
      <w:outlineLvl w:val="3"/>
    </w:pPr>
    <w:rPr>
      <w:b/>
      <w:color w:val="333333"/>
      <w:kern w:val="0"/>
      <w:sz w:val="24"/>
    </w:rPr>
  </w:style>
  <w:style w:type="character" w:customStyle="1" w:styleId="156">
    <w:name w:val="页眉 Char1"/>
    <w:qFormat/>
    <w:uiPriority w:val="0"/>
    <w:rPr>
      <w:rFonts w:eastAsia="宋体"/>
      <w:kern w:val="2"/>
      <w:sz w:val="18"/>
      <w:szCs w:val="18"/>
      <w:lang w:val="en-US" w:eastAsia="zh-CN" w:bidi="ar-SA"/>
    </w:rPr>
  </w:style>
  <w:style w:type="character" w:customStyle="1" w:styleId="157">
    <w:name w:val="普通文字 Char"/>
    <w:qFormat/>
    <w:uiPriority w:val="0"/>
    <w:rPr>
      <w:rFonts w:ascii="宋体" w:hAnsi="Courier New" w:eastAsia="宋体"/>
      <w:kern w:val="2"/>
      <w:sz w:val="21"/>
      <w:lang w:val="en-US" w:eastAsia="zh-CN" w:bidi="ar-SA"/>
    </w:rPr>
  </w:style>
  <w:style w:type="character" w:customStyle="1" w:styleId="158">
    <w:name w:val="图、表 Char Char"/>
    <w:link w:val="159"/>
    <w:qFormat/>
    <w:uiPriority w:val="0"/>
    <w:rPr>
      <w:rFonts w:ascii="宋体" w:hAnsi="宋体" w:eastAsia="Times New Roman"/>
      <w:b/>
      <w:color w:val="333333"/>
      <w:sz w:val="24"/>
      <w:szCs w:val="24"/>
    </w:rPr>
  </w:style>
  <w:style w:type="paragraph" w:customStyle="1" w:styleId="159">
    <w:name w:val="图、表"/>
    <w:link w:val="158"/>
    <w:qFormat/>
    <w:uiPriority w:val="0"/>
    <w:pPr>
      <w:jc w:val="center"/>
    </w:pPr>
    <w:rPr>
      <w:rFonts w:ascii="宋体" w:hAnsi="宋体" w:eastAsia="Times New Roman" w:cs="Times New Roman"/>
      <w:b/>
      <w:color w:val="333333"/>
      <w:sz w:val="24"/>
      <w:szCs w:val="24"/>
      <w:lang w:val="en-US" w:eastAsia="zh-CN" w:bidi="ar-SA"/>
    </w:rPr>
  </w:style>
  <w:style w:type="character" w:customStyle="1" w:styleId="160">
    <w:name w:val="表格 Char Char"/>
    <w:link w:val="122"/>
    <w:qFormat/>
    <w:uiPriority w:val="0"/>
    <w:rPr>
      <w:rFonts w:ascii="华文细黑" w:hAnsi="华文细黑"/>
      <w:sz w:val="21"/>
    </w:rPr>
  </w:style>
  <w:style w:type="character" w:customStyle="1" w:styleId="161">
    <w:name w:val="font21"/>
    <w:qFormat/>
    <w:uiPriority w:val="0"/>
    <w:rPr>
      <w:rFonts w:hint="eastAsia" w:ascii="宋体" w:hAnsi="宋体" w:eastAsia="宋体"/>
      <w:color w:val="000000"/>
      <w:sz w:val="24"/>
      <w:szCs w:val="24"/>
      <w:u w:val="none"/>
    </w:rPr>
  </w:style>
  <w:style w:type="character" w:customStyle="1" w:styleId="162">
    <w:name w:val="style11"/>
    <w:qFormat/>
    <w:uiPriority w:val="0"/>
    <w:rPr>
      <w:b/>
      <w:bCs/>
      <w:color w:val="000000"/>
      <w:sz w:val="24"/>
      <w:szCs w:val="24"/>
    </w:rPr>
  </w:style>
  <w:style w:type="character" w:customStyle="1" w:styleId="163">
    <w:name w:val="msoins"/>
    <w:basedOn w:val="54"/>
    <w:qFormat/>
    <w:uiPriority w:val="0"/>
    <w:rPr>
      <w:rFonts w:ascii="Times New Roman"/>
      <w:sz w:val="21"/>
      <w:szCs w:val="24"/>
    </w:rPr>
  </w:style>
  <w:style w:type="character" w:customStyle="1" w:styleId="164">
    <w:name w:val="font41"/>
    <w:qFormat/>
    <w:uiPriority w:val="0"/>
    <w:rPr>
      <w:rFonts w:hint="eastAsia" w:ascii="黑体" w:hAnsi="宋体" w:eastAsia="黑体" w:cs="黑体"/>
      <w:color w:val="000000"/>
      <w:sz w:val="22"/>
      <w:szCs w:val="22"/>
      <w:u w:val="none"/>
      <w:vertAlign w:val="superscript"/>
    </w:rPr>
  </w:style>
  <w:style w:type="character" w:customStyle="1" w:styleId="165">
    <w:name w:val="Para head"/>
    <w:qFormat/>
    <w:uiPriority w:val="0"/>
    <w:rPr>
      <w:sz w:val="20"/>
    </w:rPr>
  </w:style>
  <w:style w:type="character" w:customStyle="1" w:styleId="166">
    <w:name w:val="font11"/>
    <w:qFormat/>
    <w:uiPriority w:val="0"/>
    <w:rPr>
      <w:rFonts w:hint="default" w:ascii="Times New Roman" w:hAnsi="Times New Roman" w:cs="Times New Roman"/>
      <w:color w:val="000000"/>
      <w:sz w:val="24"/>
      <w:szCs w:val="24"/>
      <w:u w:val="none"/>
    </w:rPr>
  </w:style>
  <w:style w:type="character" w:customStyle="1" w:styleId="167">
    <w:name w:val="Ò³Ã¼ Char Char"/>
    <w:qFormat/>
    <w:uiPriority w:val="0"/>
    <w:rPr>
      <w:rFonts w:eastAsia="宋体"/>
      <w:kern w:val="2"/>
      <w:sz w:val="18"/>
      <w:szCs w:val="18"/>
      <w:lang w:val="en-US" w:eastAsia="zh-CN" w:bidi="ar-SA"/>
    </w:rPr>
  </w:style>
  <w:style w:type="character" w:customStyle="1" w:styleId="168">
    <w:name w:val="称呼 Char1"/>
    <w:basedOn w:val="54"/>
    <w:link w:val="19"/>
    <w:qFormat/>
    <w:uiPriority w:val="0"/>
    <w:rPr>
      <w:kern w:val="2"/>
      <w:sz w:val="21"/>
      <w:szCs w:val="24"/>
    </w:rPr>
  </w:style>
  <w:style w:type="character" w:customStyle="1" w:styleId="169">
    <w:name w:val="标题 Char"/>
    <w:basedOn w:val="54"/>
    <w:link w:val="48"/>
    <w:qFormat/>
    <w:uiPriority w:val="0"/>
    <w:rPr>
      <w:rFonts w:ascii="Arial" w:hAnsi="Arial"/>
      <w:b/>
      <w:sz w:val="32"/>
    </w:rPr>
  </w:style>
  <w:style w:type="character" w:customStyle="1" w:styleId="170">
    <w:name w:val="正文首行缩进 2 Char"/>
    <w:basedOn w:val="73"/>
    <w:link w:val="51"/>
    <w:qFormat/>
    <w:uiPriority w:val="0"/>
    <w:rPr>
      <w:kern w:val="2"/>
      <w:sz w:val="21"/>
    </w:rPr>
  </w:style>
  <w:style w:type="character" w:customStyle="1" w:styleId="171">
    <w:name w:val="HTML 预设格式 Char"/>
    <w:basedOn w:val="54"/>
    <w:link w:val="45"/>
    <w:qFormat/>
    <w:uiPriority w:val="0"/>
    <w:rPr>
      <w:rFonts w:ascii="宋体" w:hAnsi="宋体" w:cs="宋体"/>
      <w:sz w:val="24"/>
      <w:szCs w:val="24"/>
    </w:rPr>
  </w:style>
  <w:style w:type="character" w:customStyle="1" w:styleId="172">
    <w:name w:val="正文文本 2 Char"/>
    <w:basedOn w:val="54"/>
    <w:link w:val="44"/>
    <w:qFormat/>
    <w:uiPriority w:val="0"/>
    <w:rPr>
      <w:kern w:val="2"/>
      <w:sz w:val="21"/>
      <w:szCs w:val="24"/>
    </w:rPr>
  </w:style>
  <w:style w:type="character" w:customStyle="1" w:styleId="173">
    <w:name w:val="尾注文本 Char1"/>
    <w:basedOn w:val="54"/>
    <w:link w:val="32"/>
    <w:qFormat/>
    <w:uiPriority w:val="0"/>
    <w:rPr>
      <w:kern w:val="2"/>
      <w:sz w:val="21"/>
      <w:szCs w:val="24"/>
    </w:rPr>
  </w:style>
  <w:style w:type="paragraph" w:customStyle="1" w:styleId="174">
    <w:name w:val="Char Char Char"/>
    <w:basedOn w:val="1"/>
    <w:qFormat/>
    <w:uiPriority w:val="0"/>
    <w:rPr>
      <w:rFonts w:ascii="Tahoma" w:hAnsi="Tahoma"/>
      <w:sz w:val="24"/>
      <w:szCs w:val="20"/>
    </w:rPr>
  </w:style>
  <w:style w:type="paragraph" w:customStyle="1" w:styleId="175">
    <w:name w:val="Header1"/>
    <w:basedOn w:val="1"/>
    <w:qFormat/>
    <w:uiPriority w:val="0"/>
    <w:pPr>
      <w:jc w:val="center"/>
    </w:pPr>
    <w:rPr>
      <w:rFonts w:ascii="Times New Roman Bold" w:hAnsi="Times New Roman Bold"/>
      <w:b/>
      <w:smallCaps/>
      <w:kern w:val="0"/>
      <w:sz w:val="36"/>
      <w:szCs w:val="20"/>
    </w:rPr>
  </w:style>
  <w:style w:type="paragraph" w:customStyle="1" w:styleId="17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7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kern w:val="0"/>
      <w:sz w:val="24"/>
    </w:rPr>
  </w:style>
  <w:style w:type="paragraph" w:customStyle="1" w:styleId="178">
    <w:name w:val=".."/>
    <w:basedOn w:val="179"/>
    <w:next w:val="179"/>
    <w:qFormat/>
    <w:uiPriority w:val="0"/>
    <w:rPr>
      <w:rFonts w:ascii="宋体" w:eastAsia="宋体" w:cs="Times New Roman"/>
      <w:color w:val="auto"/>
    </w:rPr>
  </w:style>
  <w:style w:type="paragraph" w:customStyle="1" w:styleId="17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80">
    <w:name w:val="Char Char Char Char Char Char"/>
    <w:basedOn w:val="1"/>
    <w:qFormat/>
    <w:uiPriority w:val="0"/>
  </w:style>
  <w:style w:type="paragraph" w:customStyle="1" w:styleId="181">
    <w:name w:val="TOC 标题1"/>
    <w:basedOn w:val="3"/>
    <w:next w:val="1"/>
    <w:qFormat/>
    <w:uiPriority w:val="0"/>
    <w:pPr>
      <w:keepNext/>
      <w:keepLines/>
      <w:widowControl/>
      <w:adjustRightInd/>
      <w:spacing w:before="480" w:after="0" w:line="276" w:lineRule="auto"/>
      <w:jc w:val="left"/>
      <w:textAlignment w:val="auto"/>
      <w:outlineLvl w:val="9"/>
    </w:pPr>
    <w:rPr>
      <w:rFonts w:ascii="Cambria" w:hAnsi="Cambria"/>
      <w:bCs/>
      <w:color w:val="365F91"/>
      <w:sz w:val="28"/>
      <w:szCs w:val="28"/>
    </w:rPr>
  </w:style>
  <w:style w:type="paragraph" w:customStyle="1" w:styleId="182">
    <w:name w:val="..."/>
    <w:basedOn w:val="179"/>
    <w:next w:val="179"/>
    <w:qFormat/>
    <w:uiPriority w:val="0"/>
    <w:rPr>
      <w:rFonts w:ascii="宋体" w:eastAsia="宋体" w:cs="Times New Roman"/>
      <w:color w:val="auto"/>
    </w:rPr>
  </w:style>
  <w:style w:type="paragraph" w:customStyle="1" w:styleId="183">
    <w:name w:val="样式 标题 3 + (中文) 黑体 小四 非加粗 段前: 7.8 磅 段后: 0 磅 行距: 固定值 20 磅"/>
    <w:basedOn w:val="5"/>
    <w:qFormat/>
    <w:uiPriority w:val="0"/>
    <w:pPr>
      <w:spacing w:before="0" w:after="0" w:line="400" w:lineRule="exact"/>
    </w:pPr>
    <w:rPr>
      <w:rFonts w:eastAsia="黑体" w:cs="宋体"/>
      <w:b w:val="0"/>
      <w:bCs w:val="0"/>
      <w:kern w:val="2"/>
      <w:sz w:val="24"/>
      <w:szCs w:val="20"/>
    </w:rPr>
  </w:style>
  <w:style w:type="paragraph" w:customStyle="1" w:styleId="184">
    <w:name w:val="Char Char Char Char Char Char Char Char Char Char Char Char Char Char Char Char Char Char1 Char Char Char Char"/>
    <w:basedOn w:val="1"/>
    <w:qFormat/>
    <w:uiPriority w:val="0"/>
  </w:style>
  <w:style w:type="paragraph" w:customStyle="1" w:styleId="185">
    <w:name w:val="三级条标题"/>
    <w:basedOn w:val="186"/>
    <w:next w:val="189"/>
    <w:qFormat/>
    <w:uiPriority w:val="0"/>
    <w:pPr>
      <w:tabs>
        <w:tab w:val="left" w:pos="360"/>
        <w:tab w:val="left" w:pos="570"/>
        <w:tab w:val="left" w:pos="840"/>
      </w:tabs>
      <w:ind w:left="840" w:hanging="420"/>
      <w:outlineLvl w:val="4"/>
    </w:pPr>
  </w:style>
  <w:style w:type="paragraph" w:customStyle="1" w:styleId="186">
    <w:name w:val="二级条标题"/>
    <w:basedOn w:val="187"/>
    <w:next w:val="189"/>
    <w:qFormat/>
    <w:uiPriority w:val="0"/>
    <w:pPr>
      <w:tabs>
        <w:tab w:val="left" w:pos="360"/>
        <w:tab w:val="left" w:pos="570"/>
      </w:tabs>
      <w:spacing w:beforeLines="50"/>
      <w:outlineLvl w:val="3"/>
    </w:pPr>
  </w:style>
  <w:style w:type="paragraph" w:customStyle="1" w:styleId="187">
    <w:name w:val="一级条标题"/>
    <w:basedOn w:val="188"/>
    <w:next w:val="189"/>
    <w:qFormat/>
    <w:uiPriority w:val="0"/>
    <w:pPr>
      <w:tabs>
        <w:tab w:val="left" w:pos="360"/>
        <w:tab w:val="left" w:pos="570"/>
      </w:tabs>
      <w:spacing w:beforeLines="0" w:afterLines="0"/>
      <w:ind w:left="570" w:hanging="570"/>
      <w:outlineLvl w:val="2"/>
    </w:pPr>
    <w:rPr>
      <w:sz w:val="24"/>
    </w:rPr>
  </w:style>
  <w:style w:type="paragraph" w:customStyle="1" w:styleId="188">
    <w:name w:val="章标题"/>
    <w:next w:val="189"/>
    <w:qFormat/>
    <w:uiPriority w:val="0"/>
    <w:pPr>
      <w:widowControl w:val="0"/>
      <w:adjustRightInd w:val="0"/>
      <w:spacing w:beforeLines="50" w:afterLines="50" w:line="360" w:lineRule="atLeast"/>
      <w:jc w:val="both"/>
      <w:textAlignment w:val="baseline"/>
      <w:outlineLvl w:val="1"/>
    </w:pPr>
    <w:rPr>
      <w:rFonts w:ascii="黑体" w:hAnsi="Times New Roman" w:eastAsia="黑体" w:cs="Times New Roman"/>
      <w:sz w:val="21"/>
      <w:lang w:val="en-US" w:eastAsia="zh-CN" w:bidi="ar-SA"/>
    </w:rPr>
  </w:style>
  <w:style w:type="paragraph" w:customStyle="1" w:styleId="189">
    <w:name w:val="段"/>
    <w:qFormat/>
    <w:uiPriority w:val="0"/>
    <w:pPr>
      <w:widowControl w:val="0"/>
      <w:autoSpaceDE w:val="0"/>
      <w:autoSpaceDN w:val="0"/>
      <w:adjustRightInd w:val="0"/>
      <w:spacing w:line="360" w:lineRule="auto"/>
      <w:ind w:firstLine="200" w:firstLineChars="200"/>
      <w:jc w:val="both"/>
      <w:textAlignment w:val="baseline"/>
    </w:pPr>
    <w:rPr>
      <w:rFonts w:ascii="宋体" w:hAnsi="Times New Roman" w:eastAsia="宋体" w:cs="Times New Roman"/>
      <w:sz w:val="24"/>
      <w:lang w:val="en-US" w:eastAsia="zh-CN" w:bidi="ar-SA"/>
    </w:rPr>
  </w:style>
  <w:style w:type="paragraph" w:customStyle="1" w:styleId="190">
    <w:name w:val="默认段落字体 Para Char Char Char Char Char Char Char"/>
    <w:basedOn w:val="1"/>
    <w:qFormat/>
    <w:uiPriority w:val="0"/>
    <w:rPr>
      <w:rFonts w:ascii="Tahoma" w:hAnsi="Tahoma"/>
      <w:sz w:val="24"/>
      <w:szCs w:val="20"/>
    </w:rPr>
  </w:style>
  <w:style w:type="paragraph" w:customStyle="1" w:styleId="191">
    <w:name w:val="font7"/>
    <w:basedOn w:val="1"/>
    <w:qFormat/>
    <w:uiPriority w:val="0"/>
    <w:pPr>
      <w:widowControl/>
      <w:spacing w:before="100" w:beforeAutospacing="1" w:after="100" w:afterAutospacing="1"/>
      <w:jc w:val="left"/>
    </w:pPr>
    <w:rPr>
      <w:kern w:val="0"/>
      <w:sz w:val="24"/>
    </w:rPr>
  </w:style>
  <w:style w:type="paragraph" w:customStyle="1" w:styleId="192">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93">
    <w:name w:val="表格5"/>
    <w:basedOn w:val="194"/>
    <w:qFormat/>
    <w:uiPriority w:val="0"/>
    <w:pPr>
      <w:ind w:left="1021" w:hanging="284"/>
    </w:pPr>
    <w:rPr>
      <w:rFonts w:ascii="宋体"/>
    </w:rPr>
  </w:style>
  <w:style w:type="paragraph" w:customStyle="1" w:styleId="194">
    <w:name w:val="表格2"/>
    <w:basedOn w:val="1"/>
    <w:qFormat/>
    <w:uiPriority w:val="0"/>
    <w:pPr>
      <w:adjustRightInd w:val="0"/>
      <w:spacing w:line="420" w:lineRule="atLeast"/>
      <w:ind w:left="284" w:firstLine="454"/>
      <w:textAlignment w:val="baseline"/>
    </w:pPr>
    <w:rPr>
      <w:kern w:val="0"/>
      <w:szCs w:val="20"/>
    </w:rPr>
  </w:style>
  <w:style w:type="paragraph" w:customStyle="1" w:styleId="195">
    <w:name w:val="xl74"/>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96">
    <w:name w:val="正文文本 31"/>
    <w:basedOn w:val="22"/>
    <w:qFormat/>
    <w:uiPriority w:val="0"/>
    <w:pPr>
      <w:autoSpaceDE w:val="0"/>
      <w:autoSpaceDN w:val="0"/>
      <w:adjustRightInd w:val="0"/>
      <w:ind w:left="360" w:leftChars="0"/>
      <w:jc w:val="left"/>
      <w:textAlignment w:val="baseline"/>
    </w:pPr>
    <w:rPr>
      <w:kern w:val="0"/>
      <w:sz w:val="20"/>
      <w:szCs w:val="20"/>
    </w:rPr>
  </w:style>
  <w:style w:type="paragraph" w:customStyle="1" w:styleId="197">
    <w:name w:val="Head 1.2"/>
    <w:basedOn w:val="1"/>
    <w:qFormat/>
    <w:uiPriority w:val="0"/>
    <w:pPr>
      <w:keepNext/>
      <w:keepLines/>
      <w:spacing w:line="440" w:lineRule="exact"/>
      <w:ind w:left="-17"/>
      <w:jc w:val="center"/>
    </w:pPr>
    <w:rPr>
      <w:rFonts w:ascii="黑体" w:eastAsia="黑体"/>
      <w:sz w:val="44"/>
      <w:szCs w:val="30"/>
    </w:rPr>
  </w:style>
  <w:style w:type="paragraph" w:customStyle="1" w:styleId="198">
    <w:name w:val="注："/>
    <w:next w:val="189"/>
    <w:qFormat/>
    <w:uiPriority w:val="0"/>
    <w:pPr>
      <w:widowControl w:val="0"/>
      <w:tabs>
        <w:tab w:val="left" w:pos="2100"/>
      </w:tabs>
      <w:autoSpaceDE w:val="0"/>
      <w:autoSpaceDN w:val="0"/>
      <w:adjustRightInd w:val="0"/>
      <w:spacing w:line="360" w:lineRule="atLeast"/>
      <w:ind w:left="840" w:hanging="420"/>
      <w:jc w:val="both"/>
      <w:textAlignment w:val="baseline"/>
    </w:pPr>
    <w:rPr>
      <w:rFonts w:ascii="宋体" w:hAnsi="Times New Roman" w:eastAsia="宋体" w:cs="Times New Roman"/>
      <w:sz w:val="21"/>
      <w:lang w:val="en-US" w:eastAsia="zh-CN" w:bidi="ar-SA"/>
    </w:rPr>
  </w:style>
  <w:style w:type="paragraph" w:customStyle="1" w:styleId="199">
    <w:name w:val="Char6"/>
    <w:basedOn w:val="1"/>
    <w:qFormat/>
    <w:uiPriority w:val="0"/>
    <w:pPr>
      <w:widowControl/>
      <w:spacing w:after="160" w:line="240" w:lineRule="exact"/>
      <w:jc w:val="left"/>
    </w:pPr>
  </w:style>
  <w:style w:type="paragraph" w:customStyle="1" w:styleId="200">
    <w:name w:val="表格6"/>
    <w:basedOn w:val="193"/>
    <w:qFormat/>
    <w:uiPriority w:val="0"/>
    <w:pPr>
      <w:ind w:left="737" w:firstLine="0"/>
    </w:pPr>
  </w:style>
  <w:style w:type="paragraph" w:customStyle="1" w:styleId="201">
    <w:name w:val="章、篇名"/>
    <w:basedOn w:val="1"/>
    <w:next w:val="1"/>
    <w:qFormat/>
    <w:uiPriority w:val="0"/>
    <w:pPr>
      <w:spacing w:before="480" w:after="360" w:line="560" w:lineRule="exact"/>
      <w:jc w:val="center"/>
    </w:pPr>
    <w:rPr>
      <w:rFonts w:eastAsia="文鼎大标宋简"/>
      <w:b/>
      <w:sz w:val="36"/>
      <w:szCs w:val="20"/>
    </w:rPr>
  </w:style>
  <w:style w:type="paragraph" w:customStyle="1" w:styleId="202">
    <w:name w:val="样式 标题 1 + 黑体 三号 非加粗 居中 段前: 6 磅 段后: 6 磅 行距: 固定值 20 磅"/>
    <w:basedOn w:val="3"/>
    <w:qFormat/>
    <w:uiPriority w:val="0"/>
    <w:pPr>
      <w:keepNext/>
      <w:keepLines/>
      <w:adjustRightInd/>
      <w:spacing w:before="120" w:after="120" w:line="400" w:lineRule="exact"/>
      <w:textAlignment w:val="auto"/>
    </w:pPr>
    <w:rPr>
      <w:rFonts w:ascii="黑体" w:hAnsi="黑体" w:eastAsia="黑体" w:cs="宋体"/>
      <w:b w:val="0"/>
      <w:kern w:val="44"/>
    </w:rPr>
  </w:style>
  <w:style w:type="paragraph" w:customStyle="1" w:styleId="203">
    <w:name w:val="blockquote"/>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204">
    <w:name w:val="一、"/>
    <w:next w:val="50"/>
    <w:qFormat/>
    <w:uiPriority w:val="0"/>
    <w:pPr>
      <w:tabs>
        <w:tab w:val="left" w:pos="360"/>
        <w:tab w:val="left" w:pos="425"/>
      </w:tabs>
      <w:spacing w:before="240" w:after="240"/>
    </w:pPr>
    <w:rPr>
      <w:rFonts w:ascii="Times New Roman" w:hAnsi="Times New Roman" w:eastAsia="黑体" w:cs="Times New Roman"/>
      <w:sz w:val="28"/>
      <w:lang w:val="en-US" w:eastAsia="zh-CN" w:bidi="ar-SA"/>
    </w:rPr>
  </w:style>
  <w:style w:type="paragraph" w:customStyle="1" w:styleId="205">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06">
    <w:name w:val="Body Text 31"/>
    <w:basedOn w:val="22"/>
    <w:qFormat/>
    <w:uiPriority w:val="0"/>
    <w:pPr>
      <w:autoSpaceDE w:val="0"/>
      <w:autoSpaceDN w:val="0"/>
      <w:adjustRightInd w:val="0"/>
      <w:ind w:left="360" w:leftChars="0"/>
      <w:jc w:val="left"/>
      <w:textAlignment w:val="baseline"/>
    </w:pPr>
    <w:rPr>
      <w:kern w:val="0"/>
      <w:sz w:val="20"/>
      <w:szCs w:val="20"/>
    </w:rPr>
  </w:style>
  <w:style w:type="paragraph" w:customStyle="1" w:styleId="207">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08">
    <w:name w:val="样式 目录 1 + 段前: 0.4 行 段后: 0.4 行"/>
    <w:basedOn w:val="36"/>
    <w:qFormat/>
    <w:uiPriority w:val="0"/>
    <w:pPr>
      <w:adjustRightInd w:val="0"/>
      <w:snapToGrid w:val="0"/>
      <w:spacing w:beforeLines="100" w:afterLines="40"/>
      <w:jc w:val="both"/>
    </w:pPr>
    <w:rPr>
      <w:rFonts w:eastAsia="楷体_GB2312" w:cs="宋体"/>
      <w:caps w:val="0"/>
      <w:sz w:val="24"/>
    </w:rPr>
  </w:style>
  <w:style w:type="paragraph" w:customStyle="1" w:styleId="209">
    <w:name w:val="Default Paragraph Char Char Char Char"/>
    <w:basedOn w:val="1"/>
    <w:next w:val="1"/>
    <w:qFormat/>
    <w:uiPriority w:val="0"/>
    <w:pPr>
      <w:widowControl/>
      <w:spacing w:line="360" w:lineRule="auto"/>
      <w:jc w:val="left"/>
    </w:pPr>
    <w:rPr>
      <w:kern w:val="0"/>
      <w:szCs w:val="20"/>
      <w:lang w:eastAsia="en-US"/>
    </w:rPr>
  </w:style>
  <w:style w:type="paragraph" w:customStyle="1" w:styleId="210">
    <w:name w:val="text"/>
    <w:basedOn w:val="1"/>
    <w:qFormat/>
    <w:uiPriority w:val="0"/>
    <w:pPr>
      <w:widowControl/>
      <w:spacing w:before="100" w:beforeAutospacing="1" w:after="100" w:afterAutospacing="1" w:line="360" w:lineRule="atLeast"/>
      <w:ind w:firstLine="400"/>
      <w:jc w:val="left"/>
    </w:pPr>
    <w:rPr>
      <w:rFonts w:ascii="宋体" w:hAnsi="宋体"/>
      <w:color w:val="000000"/>
      <w:kern w:val="0"/>
      <w:sz w:val="20"/>
      <w:szCs w:val="20"/>
    </w:rPr>
  </w:style>
  <w:style w:type="paragraph" w:customStyle="1" w:styleId="211">
    <w:name w:val="a6"/>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212">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color w:val="000000"/>
      <w:kern w:val="0"/>
      <w:sz w:val="18"/>
      <w:szCs w:val="18"/>
    </w:rPr>
  </w:style>
  <w:style w:type="paragraph" w:customStyle="1" w:styleId="213">
    <w:name w:val="zhw"/>
    <w:basedOn w:val="1"/>
    <w:qFormat/>
    <w:uiPriority w:val="0"/>
    <w:pPr>
      <w:adjustRightInd w:val="0"/>
      <w:jc w:val="left"/>
      <w:textAlignment w:val="baseline"/>
    </w:pPr>
    <w:rPr>
      <w:rFonts w:ascii="Arial" w:hAnsi="Arial" w:eastAsia="Times New Roman"/>
      <w:sz w:val="24"/>
      <w:szCs w:val="20"/>
    </w:rPr>
  </w:style>
  <w:style w:type="paragraph" w:customStyle="1" w:styleId="214">
    <w:name w:val="xl3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olor w:val="000000"/>
      <w:kern w:val="0"/>
      <w:sz w:val="18"/>
      <w:szCs w:val="18"/>
    </w:rPr>
  </w:style>
  <w:style w:type="paragraph" w:customStyle="1" w:styleId="215">
    <w:name w:val="正文列表"/>
    <w:qFormat/>
    <w:uiPriority w:val="0"/>
    <w:pPr>
      <w:widowControl w:val="0"/>
      <w:spacing w:line="360" w:lineRule="auto"/>
      <w:ind w:firstLine="540" w:firstLineChars="225"/>
      <w:jc w:val="both"/>
    </w:pPr>
    <w:rPr>
      <w:rFonts w:ascii="宋体" w:hAnsi="宋体" w:eastAsia="宋体" w:cs="Times New Roman"/>
      <w:color w:val="000000"/>
      <w:kern w:val="2"/>
      <w:sz w:val="24"/>
      <w:szCs w:val="24"/>
      <w:lang w:val="en-US" w:eastAsia="zh-CN" w:bidi="ar-SA"/>
    </w:rPr>
  </w:style>
  <w:style w:type="paragraph" w:customStyle="1" w:styleId="216">
    <w:name w:val="样式 标题 1 + 首行缩进:  2 字符 段前: 1 行 段后: 1 行"/>
    <w:basedOn w:val="3"/>
    <w:qFormat/>
    <w:uiPriority w:val="0"/>
    <w:pPr>
      <w:keepNext/>
      <w:keepLines/>
      <w:adjustRightInd/>
      <w:snapToGrid w:val="0"/>
      <w:spacing w:beforeLines="100" w:afterLines="100" w:line="336" w:lineRule="auto"/>
      <w:textAlignment w:val="auto"/>
    </w:pPr>
    <w:rPr>
      <w:rFonts w:eastAsia="黑体" w:cs="宋体"/>
      <w:bCs/>
      <w:kern w:val="44"/>
      <w:sz w:val="30"/>
    </w:rPr>
  </w:style>
  <w:style w:type="paragraph" w:customStyle="1" w:styleId="217">
    <w:name w:val="xl33"/>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218">
    <w:name w:val="附录表标题"/>
    <w:basedOn w:val="1"/>
    <w:next w:val="1"/>
    <w:qFormat/>
    <w:uiPriority w:val="0"/>
    <w:pPr>
      <w:tabs>
        <w:tab w:val="left" w:pos="180"/>
        <w:tab w:val="left" w:pos="1320"/>
      </w:tabs>
      <w:spacing w:beforeLines="50" w:afterLines="50"/>
      <w:ind w:left="1320" w:hanging="420"/>
      <w:jc w:val="center"/>
    </w:pPr>
    <w:rPr>
      <w:rFonts w:ascii="黑体" w:eastAsia="黑体"/>
      <w:szCs w:val="21"/>
    </w:rPr>
  </w:style>
  <w:style w:type="paragraph" w:customStyle="1" w:styleId="219">
    <w:name w:val="p17"/>
    <w:basedOn w:val="1"/>
    <w:qFormat/>
    <w:uiPriority w:val="0"/>
    <w:pPr>
      <w:widowControl/>
    </w:pPr>
    <w:rPr>
      <w:rFonts w:ascii="宋体" w:hAnsi="宋体" w:cs="宋体"/>
      <w:kern w:val="0"/>
      <w:szCs w:val="21"/>
    </w:rPr>
  </w:style>
  <w:style w:type="paragraph" w:customStyle="1" w:styleId="220">
    <w:name w:val="格式1"/>
    <w:basedOn w:val="1"/>
    <w:qFormat/>
    <w:uiPriority w:val="0"/>
    <w:pPr>
      <w:spacing w:beforeLines="50"/>
      <w:jc w:val="center"/>
    </w:pPr>
    <w:rPr>
      <w:rFonts w:ascii="黑体" w:hAnsi="宋体" w:eastAsia="黑体"/>
      <w:b/>
      <w:bCs/>
      <w:color w:val="000000"/>
      <w:sz w:val="32"/>
      <w:szCs w:val="20"/>
    </w:rPr>
  </w:style>
  <w:style w:type="paragraph" w:customStyle="1" w:styleId="221">
    <w:name w:val="2"/>
    <w:basedOn w:val="1"/>
    <w:qFormat/>
    <w:uiPriority w:val="0"/>
    <w:pPr>
      <w:adjustRightInd w:val="0"/>
      <w:spacing w:line="420" w:lineRule="atLeast"/>
      <w:ind w:left="1134" w:hanging="227"/>
      <w:textAlignment w:val="baseline"/>
    </w:pPr>
    <w:rPr>
      <w:kern w:val="0"/>
      <w:szCs w:val="20"/>
    </w:rPr>
  </w:style>
  <w:style w:type="paragraph" w:customStyle="1" w:styleId="222">
    <w:name w:val="正文 + 小四正文 + 小四正文 + 小四 Char Char"/>
    <w:basedOn w:val="1"/>
    <w:qFormat/>
    <w:uiPriority w:val="0"/>
    <w:pPr>
      <w:ind w:firstLine="480" w:firstLineChars="200"/>
    </w:pPr>
    <w:rPr>
      <w:rFonts w:ascii="仿宋_GB2312" w:hAnsi="宋体"/>
      <w:bCs/>
      <w:sz w:val="24"/>
    </w:rPr>
  </w:style>
  <w:style w:type="paragraph" w:customStyle="1" w:styleId="223">
    <w:name w:val="Normal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24">
    <w:name w:val="正文1"/>
    <w:basedOn w:val="1"/>
    <w:qFormat/>
    <w:uiPriority w:val="0"/>
    <w:pPr>
      <w:autoSpaceDE w:val="0"/>
      <w:autoSpaceDN w:val="0"/>
      <w:adjustRightInd w:val="0"/>
      <w:spacing w:before="120" w:line="360" w:lineRule="auto"/>
      <w:ind w:left="1366" w:hanging="686"/>
    </w:pPr>
    <w:rPr>
      <w:szCs w:val="20"/>
    </w:rPr>
  </w:style>
  <w:style w:type="paragraph" w:customStyle="1" w:styleId="225">
    <w:name w:val="样式 标题 3 + 段前: 0.3 行 段后: 0.3 行"/>
    <w:basedOn w:val="5"/>
    <w:qFormat/>
    <w:uiPriority w:val="0"/>
    <w:pPr>
      <w:tabs>
        <w:tab w:val="left" w:pos="3229"/>
      </w:tabs>
      <w:snapToGrid w:val="0"/>
      <w:spacing w:beforeLines="30" w:afterLines="50" w:line="240" w:lineRule="auto"/>
    </w:pPr>
    <w:rPr>
      <w:rFonts w:ascii="Arial Narrow" w:hAnsi="Arial Narrow" w:eastAsia="华文细黑" w:cs="宋体"/>
      <w:bCs w:val="0"/>
      <w:kern w:val="2"/>
      <w:sz w:val="24"/>
      <w:szCs w:val="24"/>
    </w:rPr>
  </w:style>
  <w:style w:type="paragraph" w:customStyle="1" w:styleId="226">
    <w:name w:val="表格4"/>
    <w:basedOn w:val="1"/>
    <w:qFormat/>
    <w:uiPriority w:val="0"/>
    <w:pPr>
      <w:adjustRightInd w:val="0"/>
      <w:spacing w:line="420" w:lineRule="atLeast"/>
      <w:ind w:left="1021"/>
      <w:textAlignment w:val="baseline"/>
    </w:pPr>
    <w:rPr>
      <w:kern w:val="0"/>
      <w:szCs w:val="20"/>
    </w:rPr>
  </w:style>
  <w:style w:type="paragraph" w:customStyle="1" w:styleId="227">
    <w:name w:val="表格1"/>
    <w:basedOn w:val="1"/>
    <w:qFormat/>
    <w:uiPriority w:val="0"/>
    <w:pPr>
      <w:adjustRightInd w:val="0"/>
      <w:spacing w:line="420" w:lineRule="atLeast"/>
      <w:ind w:left="284"/>
      <w:textAlignment w:val="baseline"/>
    </w:pPr>
    <w:rPr>
      <w:kern w:val="0"/>
      <w:szCs w:val="20"/>
    </w:rPr>
  </w:style>
  <w:style w:type="paragraph" w:customStyle="1" w:styleId="228">
    <w:name w:val="默认段落字体 Para Char Char Char Char Char Char Char Char Char Char"/>
    <w:basedOn w:val="1"/>
    <w:qFormat/>
    <w:uiPriority w:val="0"/>
  </w:style>
  <w:style w:type="paragraph" w:customStyle="1" w:styleId="229">
    <w:name w:val="四级条标题"/>
    <w:basedOn w:val="185"/>
    <w:next w:val="189"/>
    <w:qFormat/>
    <w:uiPriority w:val="0"/>
    <w:pPr>
      <w:tabs>
        <w:tab w:val="left" w:pos="1260"/>
        <w:tab w:val="clear" w:pos="840"/>
      </w:tabs>
      <w:ind w:left="1260"/>
      <w:outlineLvl w:val="5"/>
    </w:pPr>
  </w:style>
  <w:style w:type="paragraph" w:customStyle="1" w:styleId="230">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231">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232">
    <w:name w:val="xl46"/>
    <w:basedOn w:val="1"/>
    <w:qFormat/>
    <w:uiPriority w:val="0"/>
    <w:pPr>
      <w:widowControl/>
      <w:spacing w:before="100" w:beforeAutospacing="1" w:after="100" w:afterAutospacing="1"/>
      <w:jc w:val="right"/>
      <w:textAlignment w:val="center"/>
    </w:pPr>
    <w:rPr>
      <w:rFonts w:ascii="Arial Unicode MS" w:hAnsi="Arial Unicode MS" w:eastAsia="Arial Unicode MS" w:cs="Arial Unicode MS"/>
      <w:kern w:val="0"/>
      <w:sz w:val="20"/>
      <w:szCs w:val="20"/>
    </w:rPr>
  </w:style>
  <w:style w:type="paragraph" w:customStyle="1" w:styleId="233">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styleId="234">
    <w:name w:val="List Paragraph"/>
    <w:basedOn w:val="1"/>
    <w:qFormat/>
    <w:uiPriority w:val="0"/>
    <w:pPr>
      <w:ind w:firstLine="420" w:firstLineChars="200"/>
    </w:pPr>
  </w:style>
  <w:style w:type="paragraph" w:customStyle="1" w:styleId="235">
    <w:name w:val="表格方字"/>
    <w:basedOn w:val="1"/>
    <w:qFormat/>
    <w:uiPriority w:val="0"/>
    <w:pPr>
      <w:adjustRightInd w:val="0"/>
      <w:spacing w:before="60" w:after="60" w:line="420" w:lineRule="atLeast"/>
      <w:jc w:val="left"/>
      <w:textAlignment w:val="baseline"/>
    </w:pPr>
    <w:rPr>
      <w:kern w:val="0"/>
      <w:szCs w:val="20"/>
    </w:rPr>
  </w:style>
  <w:style w:type="paragraph" w:customStyle="1" w:styleId="236">
    <w:name w:val="表格3"/>
    <w:basedOn w:val="1"/>
    <w:qFormat/>
    <w:uiPriority w:val="0"/>
    <w:pPr>
      <w:adjustRightInd w:val="0"/>
      <w:spacing w:line="420" w:lineRule="atLeast"/>
      <w:textAlignment w:val="baseline"/>
    </w:pPr>
    <w:rPr>
      <w:rFonts w:eastAsia="楷体"/>
      <w:kern w:val="0"/>
      <w:szCs w:val="20"/>
    </w:rPr>
  </w:style>
  <w:style w:type="paragraph" w:customStyle="1" w:styleId="237">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38">
    <w:name w:val="表内文字"/>
    <w:basedOn w:val="1"/>
    <w:qFormat/>
    <w:uiPriority w:val="0"/>
    <w:pPr>
      <w:snapToGrid w:val="0"/>
    </w:pPr>
    <w:rPr>
      <w:rFonts w:ascii="Tahoma" w:hAnsi="Tahoma" w:cs="Tahoma"/>
      <w:szCs w:val="21"/>
    </w:rPr>
  </w:style>
  <w:style w:type="paragraph" w:customStyle="1" w:styleId="239">
    <w:name w:val="Char Char Char Char Char Char Char Char Char Char Char Char Char"/>
    <w:basedOn w:val="1"/>
    <w:qFormat/>
    <w:uiPriority w:val="0"/>
    <w:rPr>
      <w:rFonts w:ascii="仿宋_GB2312" w:eastAsia="仿宋_GB2312"/>
      <w:b/>
      <w:sz w:val="32"/>
      <w:szCs w:val="32"/>
    </w:rPr>
  </w:style>
  <w:style w:type="paragraph" w:customStyle="1" w:styleId="240">
    <w:name w:val="五级条标题"/>
    <w:basedOn w:val="229"/>
    <w:next w:val="189"/>
    <w:qFormat/>
    <w:uiPriority w:val="0"/>
    <w:pPr>
      <w:tabs>
        <w:tab w:val="left" w:pos="1680"/>
        <w:tab w:val="clear" w:pos="1260"/>
      </w:tabs>
      <w:ind w:left="1680"/>
      <w:outlineLvl w:val="6"/>
    </w:pPr>
  </w:style>
  <w:style w:type="paragraph" w:customStyle="1" w:styleId="241">
    <w:name w:val="规范文本"/>
    <w:basedOn w:val="27"/>
    <w:qFormat/>
    <w:uiPriority w:val="0"/>
    <w:pPr>
      <w:adjustRightInd w:val="0"/>
      <w:snapToGrid w:val="0"/>
      <w:spacing w:line="360" w:lineRule="exact"/>
      <w:ind w:firstLine="420"/>
    </w:pPr>
    <w:rPr>
      <w:snapToGrid w:val="0"/>
      <w:kern w:val="0"/>
      <w:szCs w:val="24"/>
    </w:rPr>
  </w:style>
  <w:style w:type="paragraph" w:customStyle="1" w:styleId="242">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43">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244">
    <w:name w:val="Char Char Char Char Char Char1 Char Char Char Char"/>
    <w:basedOn w:val="1"/>
    <w:qFormat/>
    <w:uiPriority w:val="0"/>
    <w:rPr>
      <w:rFonts w:ascii="仿宋_GB2312" w:eastAsia="仿宋_GB2312"/>
      <w:b/>
      <w:sz w:val="32"/>
      <w:szCs w:val="32"/>
    </w:rPr>
  </w:style>
  <w:style w:type="paragraph" w:customStyle="1" w:styleId="245">
    <w:name w:val="表格文字"/>
    <w:basedOn w:val="1"/>
    <w:qFormat/>
    <w:uiPriority w:val="0"/>
    <w:pPr>
      <w:adjustRightInd w:val="0"/>
      <w:spacing w:line="420" w:lineRule="atLeast"/>
      <w:jc w:val="left"/>
      <w:textAlignment w:val="baseline"/>
    </w:pPr>
    <w:rPr>
      <w:kern w:val="0"/>
      <w:szCs w:val="20"/>
    </w:rPr>
  </w:style>
  <w:style w:type="paragraph" w:customStyle="1" w:styleId="246">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247">
    <w:name w:val="..1"/>
    <w:basedOn w:val="179"/>
    <w:next w:val="179"/>
    <w:qFormat/>
    <w:uiPriority w:val="0"/>
    <w:rPr>
      <w:rFonts w:ascii="新宋体" w:eastAsia="新宋体" w:cs="Times New Roman"/>
      <w:color w:val="auto"/>
    </w:rPr>
  </w:style>
  <w:style w:type="paragraph" w:customStyle="1" w:styleId="248">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kern w:val="0"/>
      <w:szCs w:val="21"/>
    </w:rPr>
  </w:style>
  <w:style w:type="paragraph" w:customStyle="1" w:styleId="249">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250">
    <w:name w:val="文"/>
    <w:basedOn w:val="27"/>
    <w:qFormat/>
    <w:uiPriority w:val="0"/>
    <w:pPr>
      <w:spacing w:line="360" w:lineRule="auto"/>
      <w:ind w:firstLine="360" w:firstLineChars="150"/>
    </w:pPr>
    <w:rPr>
      <w:rFonts w:hAnsi="宋体"/>
      <w:color w:val="000000"/>
      <w:sz w:val="24"/>
      <w:szCs w:val="24"/>
      <w:lang w:val="zh-CN"/>
    </w:rPr>
  </w:style>
  <w:style w:type="paragraph" w:customStyle="1" w:styleId="25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52">
    <w:name w:val="...."/>
    <w:basedOn w:val="179"/>
    <w:next w:val="179"/>
    <w:qFormat/>
    <w:uiPriority w:val="0"/>
    <w:rPr>
      <w:rFonts w:ascii="宋体" w:eastAsia="宋体" w:cs="Times New Roman"/>
      <w:color w:val="auto"/>
    </w:rPr>
  </w:style>
  <w:style w:type="paragraph" w:customStyle="1" w:styleId="253">
    <w:name w:val="正文文字 2"/>
    <w:basedOn w:val="1"/>
    <w:qFormat/>
    <w:uiPriority w:val="0"/>
    <w:pPr>
      <w:spacing w:line="300" w:lineRule="exact"/>
    </w:pPr>
    <w:rPr>
      <w:rFonts w:ascii="宋体" w:hAnsi="宋体" w:cs="宋体"/>
      <w:sz w:val="24"/>
    </w:rPr>
  </w:style>
  <w:style w:type="paragraph" w:customStyle="1" w:styleId="254">
    <w:name w:val="aa"/>
    <w:basedOn w:val="1"/>
    <w:qFormat/>
    <w:uiPriority w:val="0"/>
    <w:pPr>
      <w:spacing w:line="360" w:lineRule="auto"/>
    </w:pPr>
    <w:rPr>
      <w:sz w:val="24"/>
    </w:rPr>
  </w:style>
  <w:style w:type="paragraph" w:customStyle="1" w:styleId="255">
    <w:name w:val="3"/>
    <w:basedOn w:val="1"/>
    <w:qFormat/>
    <w:uiPriority w:val="0"/>
    <w:pPr>
      <w:spacing w:before="100" w:line="360" w:lineRule="auto"/>
      <w:ind w:firstLine="454"/>
    </w:pPr>
    <w:rPr>
      <w:rFonts w:ascii="宋体"/>
      <w:b/>
      <w:szCs w:val="20"/>
    </w:rPr>
  </w:style>
  <w:style w:type="paragraph" w:customStyle="1" w:styleId="256">
    <w:name w:val="前言、引言标题"/>
    <w:next w:val="1"/>
    <w:qFormat/>
    <w:uiPriority w:val="0"/>
    <w:pPr>
      <w:widowControl w:val="0"/>
      <w:shd w:val="clear" w:color="FFFFFF" w:fill="FFFFFF"/>
      <w:adjustRightInd w:val="0"/>
      <w:spacing w:before="640" w:after="560" w:line="360" w:lineRule="atLeast"/>
      <w:jc w:val="center"/>
      <w:textAlignment w:val="baseline"/>
      <w:outlineLvl w:val="0"/>
    </w:pPr>
    <w:rPr>
      <w:rFonts w:ascii="黑体" w:hAnsi="Times New Roman" w:eastAsia="黑体" w:cs="Times New Roman"/>
      <w:sz w:val="32"/>
      <w:lang w:val="en-US" w:eastAsia="zh-CN" w:bidi="ar-SA"/>
    </w:rPr>
  </w:style>
  <w:style w:type="paragraph" w:customStyle="1" w:styleId="257">
    <w:name w:val="样式2"/>
    <w:basedOn w:val="5"/>
    <w:qFormat/>
    <w:uiPriority w:val="0"/>
    <w:pPr>
      <w:tabs>
        <w:tab w:val="left" w:pos="360"/>
      </w:tabs>
      <w:spacing w:before="120" w:after="120" w:line="240" w:lineRule="auto"/>
      <w:ind w:left="840"/>
      <w:jc w:val="left"/>
    </w:pPr>
    <w:rPr>
      <w:spacing w:val="8"/>
      <w:kern w:val="2"/>
      <w:sz w:val="24"/>
      <w:szCs w:val="24"/>
    </w:rPr>
  </w:style>
  <w:style w:type="paragraph" w:customStyle="1" w:styleId="258">
    <w:name w:val="样式4"/>
    <w:basedOn w:val="6"/>
    <w:qFormat/>
    <w:uiPriority w:val="0"/>
    <w:pPr>
      <w:keepLines w:val="0"/>
      <w:tabs>
        <w:tab w:val="left" w:pos="360"/>
        <w:tab w:val="left" w:pos="8740"/>
        <w:tab w:val="left" w:pos="9412"/>
      </w:tabs>
      <w:spacing w:before="0" w:after="0" w:line="180" w:lineRule="auto"/>
      <w:ind w:left="840"/>
      <w:jc w:val="left"/>
    </w:pPr>
    <w:rPr>
      <w:rFonts w:eastAsia="宋体"/>
      <w:b w:val="0"/>
      <w:bCs w:val="0"/>
      <w:spacing w:val="8"/>
      <w:kern w:val="2"/>
      <w:szCs w:val="20"/>
      <w:shd w:val="clear" w:color="auto" w:fill="FFFFFF"/>
    </w:rPr>
  </w:style>
  <w:style w:type="paragraph" w:customStyle="1" w:styleId="259">
    <w:name w:val="样式 首行缩进:  2 字符 段前: 0.5 行 段后: 0.5 行"/>
    <w:basedOn w:val="1"/>
    <w:next w:val="1"/>
    <w:qFormat/>
    <w:uiPriority w:val="0"/>
    <w:pPr>
      <w:adjustRightInd w:val="0"/>
      <w:snapToGrid w:val="0"/>
      <w:spacing w:before="156" w:line="312" w:lineRule="auto"/>
      <w:ind w:firstLine="480" w:firstLineChars="200"/>
    </w:pPr>
    <w:rPr>
      <w:rFonts w:eastAsia="楷体_GB2312"/>
      <w:sz w:val="24"/>
      <w:szCs w:val="20"/>
    </w:rPr>
  </w:style>
  <w:style w:type="paragraph" w:customStyle="1" w:styleId="260">
    <w:name w:val="1."/>
    <w:basedOn w:val="1"/>
    <w:qFormat/>
    <w:uiPriority w:val="0"/>
    <w:pPr>
      <w:tabs>
        <w:tab w:val="left" w:pos="360"/>
        <w:tab w:val="left" w:pos="2040"/>
      </w:tabs>
      <w:spacing w:line="360" w:lineRule="auto"/>
      <w:ind w:firstLine="482"/>
    </w:pPr>
    <w:rPr>
      <w:sz w:val="28"/>
      <w:szCs w:val="20"/>
    </w:rPr>
  </w:style>
  <w:style w:type="paragraph" w:customStyle="1" w:styleId="261">
    <w:name w:val="Char Char Char Char Char Char1"/>
    <w:basedOn w:val="1"/>
    <w:qFormat/>
    <w:uiPriority w:val="0"/>
  </w:style>
  <w:style w:type="paragraph" w:customStyle="1" w:styleId="262">
    <w:name w:val="样式 标题 2 + 首行缩进:  2 字符 段前: 1 行 段后: 0.5 行"/>
    <w:basedOn w:val="4"/>
    <w:qFormat/>
    <w:uiPriority w:val="0"/>
    <w:pPr>
      <w:snapToGrid w:val="0"/>
      <w:spacing w:beforeLines="100" w:afterLines="50" w:line="336" w:lineRule="auto"/>
    </w:pPr>
    <w:rPr>
      <w:rFonts w:cs="宋体"/>
      <w:kern w:val="2"/>
      <w:sz w:val="28"/>
      <w:szCs w:val="20"/>
    </w:rPr>
  </w:style>
  <w:style w:type="paragraph" w:customStyle="1" w:styleId="26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character" w:customStyle="1" w:styleId="264">
    <w:name w:val="Char Char1"/>
    <w:qFormat/>
    <w:uiPriority w:val="0"/>
    <w:rPr>
      <w:rFonts w:ascii="Arial" w:hAnsi="Arial" w:eastAsia="黑体"/>
      <w:b/>
      <w:bCs/>
      <w:kern w:val="2"/>
      <w:sz w:val="32"/>
      <w:szCs w:val="32"/>
      <w:lang w:val="en-US" w:eastAsia="zh-CN" w:bidi="ar-SA"/>
    </w:rPr>
  </w:style>
  <w:style w:type="character" w:customStyle="1" w:styleId="265">
    <w:name w:val="Char Char81"/>
    <w:qFormat/>
    <w:uiPriority w:val="0"/>
    <w:rPr>
      <w:rFonts w:ascii="宋体"/>
      <w:kern w:val="2"/>
      <w:sz w:val="24"/>
    </w:rPr>
  </w:style>
  <w:style w:type="character" w:customStyle="1" w:styleId="266">
    <w:name w:val="Char Char61"/>
    <w:qFormat/>
    <w:uiPriority w:val="0"/>
    <w:rPr>
      <w:rFonts w:eastAsia="宋体"/>
      <w:b/>
      <w:sz w:val="32"/>
      <w:lang w:val="en-US" w:eastAsia="zh-CN" w:bidi="ar-SA"/>
    </w:rPr>
  </w:style>
  <w:style w:type="paragraph" w:customStyle="1" w:styleId="267">
    <w:name w:val="Char Char Char1"/>
    <w:basedOn w:val="1"/>
    <w:qFormat/>
    <w:uiPriority w:val="0"/>
    <w:rPr>
      <w:rFonts w:ascii="Tahoma" w:hAnsi="Tahoma"/>
      <w:sz w:val="24"/>
      <w:szCs w:val="20"/>
    </w:rPr>
  </w:style>
  <w:style w:type="paragraph" w:customStyle="1" w:styleId="268">
    <w:name w:val="Char Char Char Char Char Char2"/>
    <w:basedOn w:val="1"/>
    <w:qFormat/>
    <w:uiPriority w:val="0"/>
  </w:style>
  <w:style w:type="paragraph" w:customStyle="1" w:styleId="269">
    <w:name w:val="Char Char Char Char Char Char Char Char Char Char Char Char Char Char Char Char Char Char1 Char Char Char Char1"/>
    <w:basedOn w:val="1"/>
    <w:qFormat/>
    <w:uiPriority w:val="0"/>
  </w:style>
  <w:style w:type="paragraph" w:customStyle="1" w:styleId="270">
    <w:name w:val="正文文本 32"/>
    <w:basedOn w:val="22"/>
    <w:qFormat/>
    <w:uiPriority w:val="0"/>
    <w:pPr>
      <w:autoSpaceDE w:val="0"/>
      <w:autoSpaceDN w:val="0"/>
      <w:adjustRightInd w:val="0"/>
      <w:ind w:left="360" w:leftChars="0"/>
      <w:jc w:val="left"/>
      <w:textAlignment w:val="baseline"/>
    </w:pPr>
    <w:rPr>
      <w:kern w:val="0"/>
      <w:sz w:val="20"/>
      <w:szCs w:val="20"/>
    </w:rPr>
  </w:style>
  <w:style w:type="paragraph" w:customStyle="1" w:styleId="271">
    <w:name w:val="Char61"/>
    <w:basedOn w:val="1"/>
    <w:qFormat/>
    <w:uiPriority w:val="0"/>
    <w:pPr>
      <w:widowControl/>
      <w:spacing w:after="160" w:line="240" w:lineRule="exact"/>
      <w:jc w:val="left"/>
    </w:pPr>
  </w:style>
  <w:style w:type="paragraph" w:customStyle="1" w:styleId="272">
    <w:name w:val="Char Char Char Char Char Char Char Char Char Char Char Char Char1"/>
    <w:basedOn w:val="1"/>
    <w:qFormat/>
    <w:uiPriority w:val="0"/>
    <w:rPr>
      <w:rFonts w:ascii="仿宋_GB2312" w:eastAsia="仿宋_GB2312"/>
      <w:b/>
      <w:sz w:val="32"/>
      <w:szCs w:val="32"/>
    </w:rPr>
  </w:style>
  <w:style w:type="paragraph" w:customStyle="1" w:styleId="273">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74">
    <w:name w:val="Char Char Char Char Char Char1 Char Char Char Char1"/>
    <w:basedOn w:val="1"/>
    <w:qFormat/>
    <w:uiPriority w:val="0"/>
    <w:rPr>
      <w:rFonts w:ascii="仿宋_GB2312" w:eastAsia="仿宋_GB2312"/>
      <w:b/>
      <w:sz w:val="32"/>
      <w:szCs w:val="32"/>
    </w:rPr>
  </w:style>
  <w:style w:type="paragraph" w:customStyle="1" w:styleId="275">
    <w:name w:val="Char2"/>
    <w:basedOn w:val="1"/>
    <w:qFormat/>
    <w:uiPriority w:val="0"/>
  </w:style>
  <w:style w:type="paragraph" w:customStyle="1" w:styleId="276">
    <w:name w:val="Char Char Char Char1"/>
    <w:basedOn w:val="1"/>
    <w:qFormat/>
    <w:uiPriority w:val="0"/>
    <w:pPr>
      <w:widowControl/>
      <w:spacing w:after="160" w:line="240" w:lineRule="exact"/>
      <w:jc w:val="left"/>
    </w:pPr>
    <w:rPr>
      <w:szCs w:val="20"/>
    </w:rPr>
  </w:style>
  <w:style w:type="paragraph" w:customStyle="1" w:styleId="277">
    <w:name w:val="Char11"/>
    <w:basedOn w:val="1"/>
    <w:qFormat/>
    <w:uiPriority w:val="0"/>
  </w:style>
  <w:style w:type="paragraph" w:customStyle="1" w:styleId="278">
    <w:name w:val="WPSOffice手动目录 1"/>
    <w:qFormat/>
    <w:uiPriority w:val="0"/>
    <w:rPr>
      <w:rFonts w:asciiTheme="minorHAnsi" w:hAnsiTheme="minorHAnsi" w:eastAsiaTheme="minorEastAsia" w:cstheme="minorBidi"/>
      <w:lang w:val="en-US" w:eastAsia="zh-CN" w:bidi="ar-SA"/>
    </w:rPr>
  </w:style>
  <w:style w:type="paragraph" w:customStyle="1" w:styleId="279">
    <w:name w:val="修订2"/>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3.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7f5734c-4206-4d08-86ef-66699e545c47}"/>
        <w:style w:val=""/>
        <w:category>
          <w:name w:val="常规"/>
          <w:gallery w:val="placeholder"/>
        </w:category>
        <w:types>
          <w:type w:val="bbPlcHdr"/>
        </w:types>
        <w:behaviors>
          <w:behavior w:val="content"/>
        </w:behaviors>
        <w:description w:val=""/>
        <w:guid w:val="{87f5734c-4206-4d08-86ef-66699e545c47}"/>
      </w:docPartPr>
      <w:docPartBody>
        <w:p>
          <w:r>
            <w:rPr>
              <w:color w:val="808080"/>
            </w:rPr>
            <w:t>单击此处输入文字。</w:t>
          </w:r>
        </w:p>
      </w:docPartBody>
    </w:docPart>
    <w:docPart>
      <w:docPartPr>
        <w:name w:val="{9943ec89-df66-47a1-93c6-3c2bdc0f94be}"/>
        <w:style w:val=""/>
        <w:category>
          <w:name w:val="常规"/>
          <w:gallery w:val="placeholder"/>
        </w:category>
        <w:types>
          <w:type w:val="bbPlcHdr"/>
        </w:types>
        <w:behaviors>
          <w:behavior w:val="content"/>
        </w:behaviors>
        <w:description w:val=""/>
        <w:guid w:val="{9943ec89-df66-47a1-93c6-3c2bdc0f94be}"/>
      </w:docPartPr>
      <w:docPartBody>
        <w:p>
          <w:r>
            <w:rPr>
              <w:color w:val="808080"/>
            </w:rPr>
            <w:t>单击此处输入文字。</w:t>
          </w:r>
        </w:p>
      </w:docPartBody>
    </w:docPart>
    <w:docPart>
      <w:docPartPr>
        <w:name w:val="{d4207f84-6acc-4a28-bbbb-2f2109b1cd38}"/>
        <w:style w:val=""/>
        <w:category>
          <w:name w:val="常规"/>
          <w:gallery w:val="placeholder"/>
        </w:category>
        <w:types>
          <w:type w:val="bbPlcHdr"/>
        </w:types>
        <w:behaviors>
          <w:behavior w:val="content"/>
        </w:behaviors>
        <w:description w:val=""/>
        <w:guid w:val="{d4207f84-6acc-4a28-bbbb-2f2109b1cd38}"/>
      </w:docPartPr>
      <w:docPartBody>
        <w:p>
          <w:r>
            <w:rPr>
              <w:color w:val="808080"/>
            </w:rPr>
            <w:t>单击此处输入文字。</w:t>
          </w:r>
        </w:p>
      </w:docPartBody>
    </w:docPart>
    <w:docPart>
      <w:docPartPr>
        <w:name w:val="{13f9f5a7-f9d9-4540-9a41-0aa74fdbcfdc}"/>
        <w:style w:val=""/>
        <w:category>
          <w:name w:val="常规"/>
          <w:gallery w:val="placeholder"/>
        </w:category>
        <w:types>
          <w:type w:val="bbPlcHdr"/>
        </w:types>
        <w:behaviors>
          <w:behavior w:val="content"/>
        </w:behaviors>
        <w:description w:val=""/>
        <w:guid w:val="{13f9f5a7-f9d9-4540-9a41-0aa74fdbcfdc}"/>
      </w:docPartPr>
      <w:docPartBody>
        <w:p>
          <w:r>
            <w:rPr>
              <w:color w:val="808080"/>
            </w:rPr>
            <w:t>单击此处输入文字。</w:t>
          </w:r>
        </w:p>
      </w:docPartBody>
    </w:docPart>
    <w:docPart>
      <w:docPartPr>
        <w:name w:val="{021d2823-2e2a-4c68-a753-b3a529a95ef4}"/>
        <w:style w:val=""/>
        <w:category>
          <w:name w:val="常规"/>
          <w:gallery w:val="placeholder"/>
        </w:category>
        <w:types>
          <w:type w:val="bbPlcHdr"/>
        </w:types>
        <w:behaviors>
          <w:behavior w:val="content"/>
        </w:behaviors>
        <w:description w:val=""/>
        <w:guid w:val="{021d2823-2e2a-4c68-a753-b3a529a95ef4}"/>
      </w:docPartPr>
      <w:docPartBody>
        <w:p>
          <w:r>
            <w:rPr>
              <w:color w:val="808080"/>
            </w:rPr>
            <w:t>单击此处输入文字。</w:t>
          </w:r>
        </w:p>
      </w:docPartBody>
    </w:docPart>
    <w:docPart>
      <w:docPartPr>
        <w:name w:val="{9f3ed8d7-9be3-4035-bdf8-82b23f316ed6}"/>
        <w:style w:val=""/>
        <w:category>
          <w:name w:val="常规"/>
          <w:gallery w:val="placeholder"/>
        </w:category>
        <w:types>
          <w:type w:val="bbPlcHdr"/>
        </w:types>
        <w:behaviors>
          <w:behavior w:val="content"/>
        </w:behaviors>
        <w:description w:val=""/>
        <w:guid w:val="{9f3ed8d7-9be3-4035-bdf8-82b23f316ed6}"/>
      </w:docPartPr>
      <w:docPartBody>
        <w:p>
          <w:r>
            <w:rPr>
              <w:color w:val="808080"/>
            </w:rPr>
            <w:t>单击此处输入文字。</w:t>
          </w:r>
        </w:p>
      </w:docPartBody>
    </w:docPart>
    <w:docPart>
      <w:docPartPr>
        <w:name w:val="{bda358c2-55c5-45a5-9e43-ae9a7605dcea}"/>
        <w:style w:val=""/>
        <w:category>
          <w:name w:val="常规"/>
          <w:gallery w:val="placeholder"/>
        </w:category>
        <w:types>
          <w:type w:val="bbPlcHdr"/>
        </w:types>
        <w:behaviors>
          <w:behavior w:val="content"/>
        </w:behaviors>
        <w:description w:val=""/>
        <w:guid w:val="{bda358c2-55c5-45a5-9e43-ae9a7605dcea}"/>
      </w:docPartPr>
      <w:docPartBody>
        <w:p>
          <w:r>
            <w:rPr>
              <w:color w:val="808080"/>
            </w:rPr>
            <w:t>单击此处输入文字。</w:t>
          </w:r>
        </w:p>
      </w:docPartBody>
    </w:docPart>
    <w:docPart>
      <w:docPartPr>
        <w:name w:val="{ac0fabe4-3f90-453f-9e16-45a0cab19664}"/>
        <w:style w:val=""/>
        <w:category>
          <w:name w:val="常规"/>
          <w:gallery w:val="placeholder"/>
        </w:category>
        <w:types>
          <w:type w:val="bbPlcHdr"/>
        </w:types>
        <w:behaviors>
          <w:behavior w:val="content"/>
        </w:behaviors>
        <w:description w:val=""/>
        <w:guid w:val="{ac0fabe4-3f90-453f-9e16-45a0cab1966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4" textRotate="1"/>
    <customShpInfo spid="_x0000_s1026"/>
    <customShpInfo spid="_x0000_s1032" textRotate="1"/>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F0918-37EC-43E6-ABCB-B7FD2609A706}">
  <ds:schemaRefs/>
</ds:datastoreItem>
</file>

<file path=docProps/app.xml><?xml version="1.0" encoding="utf-8"?>
<Properties xmlns="http://schemas.openxmlformats.org/officeDocument/2006/extended-properties" xmlns:vt="http://schemas.openxmlformats.org/officeDocument/2006/docPropsVTypes">
  <Template>Normal.dotm</Template>
  <Pages>54</Pages>
  <Words>4109</Words>
  <Characters>23424</Characters>
  <Lines>195</Lines>
  <Paragraphs>54</Paragraphs>
  <TotalTime>33</TotalTime>
  <ScaleCrop>false</ScaleCrop>
  <LinksUpToDate>false</LinksUpToDate>
  <CharactersWithSpaces>27479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2019-04-11T07:02:00Z</dcterms:created>
  <dc:creator>Windows 用户</dc:creator>
  <cp:lastModifiedBy>Administrator</cp:lastModifiedBy>
  <cp:lastPrinted>2019-08-07T06:13:00Z</cp:lastPrinted>
  <dcterms:modified xsi:type="dcterms:W3CDTF">2019-08-22T08:09:14Z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