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sz w:val="32"/>
          <w:szCs w:val="32"/>
        </w:rPr>
      </w:pPr>
      <w:bookmarkStart w:id="0" w:name="_Toc471823332"/>
      <w:bookmarkStart w:id="1" w:name="_Toc445447840"/>
      <w:bookmarkStart w:id="2" w:name="_Toc19686"/>
      <w:bookmarkStart w:id="3" w:name="_Toc492571090"/>
      <w:r>
        <w:rPr>
          <w:rFonts w:hint="eastAsia"/>
          <w:sz w:val="32"/>
          <w:szCs w:val="32"/>
        </w:rPr>
        <w:t>第三章 评标办法</w:t>
      </w:r>
      <w:bookmarkEnd w:id="0"/>
      <w:bookmarkEnd w:id="1"/>
      <w:bookmarkEnd w:id="2"/>
      <w:r>
        <w:rPr>
          <w:rFonts w:hint="eastAsia"/>
          <w:sz w:val="32"/>
          <w:szCs w:val="32"/>
        </w:rPr>
        <w:t>（综合评分法）</w:t>
      </w:r>
      <w:bookmarkEnd w:id="3"/>
    </w:p>
    <w:p>
      <w:pPr>
        <w:pStyle w:val="3"/>
        <w:jc w:val="left"/>
        <w:rPr>
          <w:rFonts w:hint="eastAsia"/>
          <w:sz w:val="24"/>
          <w:szCs w:val="24"/>
        </w:rPr>
      </w:pPr>
      <w:bookmarkStart w:id="4" w:name="_Toc492571091"/>
      <w:r>
        <w:rPr>
          <w:rFonts w:hint="eastAsia"/>
          <w:sz w:val="24"/>
          <w:szCs w:val="24"/>
        </w:rPr>
        <w:t>（一）评标办法前附表</w:t>
      </w:r>
      <w:bookmarkEnd w:id="4"/>
    </w:p>
    <w:tbl>
      <w:tblPr>
        <w:tblStyle w:val="6"/>
        <w:tblW w:w="927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81"/>
        <w:gridCol w:w="1268"/>
        <w:gridCol w:w="702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67" w:hRule="atLeast"/>
          <w:tblHeader/>
          <w:jc w:val="center"/>
        </w:trPr>
        <w:tc>
          <w:tcPr>
            <w:tcW w:w="981" w:type="dxa"/>
            <w:tcBorders>
              <w:top w:val="single" w:color="auto" w:sz="4" w:space="0"/>
              <w:bottom w:val="single" w:color="auto" w:sz="4" w:space="0"/>
              <w:right w:val="single" w:color="auto" w:sz="4" w:space="0"/>
            </w:tcBorders>
            <w:vAlign w:val="center"/>
          </w:tcPr>
          <w:p>
            <w:pPr>
              <w:spacing w:line="400" w:lineRule="atLeast"/>
              <w:jc w:val="center"/>
              <w:rPr>
                <w:b/>
                <w:sz w:val="21"/>
                <w:szCs w:val="21"/>
              </w:rPr>
            </w:pPr>
            <w:r>
              <w:rPr>
                <w:b/>
                <w:sz w:val="21"/>
                <w:szCs w:val="21"/>
              </w:rPr>
              <w:t>条款号</w:t>
            </w:r>
          </w:p>
        </w:tc>
        <w:tc>
          <w:tcPr>
            <w:tcW w:w="1268" w:type="dxa"/>
            <w:tcBorders>
              <w:top w:val="single" w:color="auto" w:sz="4" w:space="0"/>
              <w:bottom w:val="single" w:color="auto" w:sz="4" w:space="0"/>
              <w:right w:val="single" w:color="auto" w:sz="4" w:space="0"/>
            </w:tcBorders>
            <w:vAlign w:val="center"/>
          </w:tcPr>
          <w:p>
            <w:pPr>
              <w:spacing w:line="400" w:lineRule="atLeast"/>
              <w:jc w:val="center"/>
              <w:rPr>
                <w:b/>
                <w:sz w:val="21"/>
                <w:szCs w:val="21"/>
              </w:rPr>
            </w:pPr>
            <w:r>
              <w:rPr>
                <w:b/>
                <w:sz w:val="21"/>
                <w:szCs w:val="21"/>
              </w:rPr>
              <w:t>条款内容</w:t>
            </w:r>
          </w:p>
        </w:tc>
        <w:tc>
          <w:tcPr>
            <w:tcW w:w="702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b/>
                <w:sz w:val="21"/>
                <w:szCs w:val="21"/>
              </w:rPr>
            </w:pPr>
            <w:r>
              <w:rPr>
                <w:b/>
                <w:sz w:val="21"/>
                <w:szCs w:val="21"/>
              </w:rPr>
              <w:t>评审因素与评审标准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25" w:hRule="atLeast"/>
          <w:jc w:val="center"/>
        </w:trPr>
        <w:tc>
          <w:tcPr>
            <w:tcW w:w="981" w:type="dxa"/>
            <w:tcBorders>
              <w:top w:val="single" w:color="auto" w:sz="4" w:space="0"/>
              <w:bottom w:val="single" w:color="auto" w:sz="4" w:space="0"/>
              <w:right w:val="single" w:color="auto" w:sz="4" w:space="0"/>
            </w:tcBorders>
            <w:vAlign w:val="center"/>
          </w:tcPr>
          <w:p>
            <w:pPr>
              <w:spacing w:line="400" w:lineRule="atLeast"/>
              <w:jc w:val="center"/>
              <w:rPr>
                <w:sz w:val="21"/>
                <w:szCs w:val="21"/>
              </w:rPr>
            </w:pPr>
          </w:p>
          <w:p>
            <w:pPr>
              <w:spacing w:line="400" w:lineRule="atLeast"/>
              <w:jc w:val="center"/>
              <w:rPr>
                <w:sz w:val="21"/>
                <w:szCs w:val="21"/>
              </w:rPr>
            </w:pPr>
          </w:p>
          <w:p>
            <w:pPr>
              <w:spacing w:line="400" w:lineRule="atLeast"/>
              <w:jc w:val="center"/>
              <w:rPr>
                <w:sz w:val="21"/>
                <w:szCs w:val="21"/>
              </w:rPr>
            </w:pPr>
          </w:p>
          <w:p>
            <w:pPr>
              <w:spacing w:line="400" w:lineRule="atLeast"/>
              <w:jc w:val="center"/>
              <w:rPr>
                <w:sz w:val="21"/>
                <w:szCs w:val="21"/>
              </w:rPr>
            </w:pPr>
          </w:p>
          <w:p>
            <w:pPr>
              <w:spacing w:line="400" w:lineRule="atLeast"/>
              <w:jc w:val="center"/>
              <w:rPr>
                <w:sz w:val="21"/>
                <w:szCs w:val="21"/>
              </w:rPr>
            </w:pPr>
          </w:p>
          <w:p>
            <w:pPr>
              <w:spacing w:line="400" w:lineRule="atLeast"/>
              <w:jc w:val="center"/>
              <w:rPr>
                <w:sz w:val="21"/>
                <w:szCs w:val="21"/>
              </w:rPr>
            </w:pPr>
          </w:p>
          <w:p>
            <w:pPr>
              <w:spacing w:line="400" w:lineRule="atLeast"/>
              <w:jc w:val="center"/>
              <w:rPr>
                <w:sz w:val="21"/>
                <w:szCs w:val="21"/>
              </w:rPr>
            </w:pPr>
          </w:p>
          <w:p>
            <w:pPr>
              <w:spacing w:line="400" w:lineRule="atLeast"/>
              <w:jc w:val="center"/>
              <w:rPr>
                <w:sz w:val="21"/>
                <w:szCs w:val="21"/>
              </w:rPr>
            </w:pPr>
          </w:p>
          <w:p>
            <w:pPr>
              <w:spacing w:line="400" w:lineRule="atLeast"/>
              <w:jc w:val="center"/>
              <w:rPr>
                <w:sz w:val="21"/>
                <w:szCs w:val="21"/>
              </w:rPr>
            </w:pPr>
          </w:p>
          <w:p>
            <w:pPr>
              <w:spacing w:line="400" w:lineRule="atLeast"/>
              <w:jc w:val="center"/>
              <w:rPr>
                <w:sz w:val="21"/>
                <w:szCs w:val="21"/>
              </w:rPr>
            </w:pPr>
          </w:p>
          <w:p>
            <w:pPr>
              <w:spacing w:line="400" w:lineRule="atLeast"/>
              <w:jc w:val="center"/>
              <w:rPr>
                <w:sz w:val="21"/>
                <w:szCs w:val="21"/>
              </w:rPr>
            </w:pPr>
          </w:p>
          <w:p>
            <w:pPr>
              <w:spacing w:line="400" w:lineRule="atLeast"/>
              <w:jc w:val="center"/>
              <w:rPr>
                <w:sz w:val="21"/>
                <w:szCs w:val="21"/>
              </w:rPr>
            </w:pPr>
          </w:p>
          <w:p>
            <w:pPr>
              <w:spacing w:line="400" w:lineRule="atLeast"/>
              <w:jc w:val="center"/>
              <w:rPr>
                <w:sz w:val="21"/>
                <w:szCs w:val="21"/>
              </w:rPr>
            </w:pPr>
            <w:r>
              <w:rPr>
                <w:sz w:val="21"/>
                <w:szCs w:val="21"/>
              </w:rPr>
              <w:t>2.1.1</w:t>
            </w:r>
          </w:p>
          <w:p>
            <w:pPr>
              <w:spacing w:line="400" w:lineRule="atLeast"/>
              <w:jc w:val="center"/>
              <w:rPr>
                <w:sz w:val="21"/>
                <w:szCs w:val="21"/>
              </w:rPr>
            </w:pPr>
            <w:r>
              <w:rPr>
                <w:sz w:val="21"/>
                <w:szCs w:val="21"/>
              </w:rPr>
              <w:t>2.1.3</w:t>
            </w:r>
          </w:p>
          <w:p>
            <w:pPr>
              <w:spacing w:line="400" w:lineRule="atLeast"/>
              <w:jc w:val="center"/>
              <w:rPr>
                <w:sz w:val="21"/>
                <w:szCs w:val="21"/>
              </w:rPr>
            </w:pPr>
          </w:p>
          <w:p>
            <w:pPr>
              <w:spacing w:line="400" w:lineRule="atLeast"/>
              <w:jc w:val="center"/>
              <w:rPr>
                <w:sz w:val="21"/>
                <w:szCs w:val="21"/>
              </w:rPr>
            </w:pPr>
          </w:p>
          <w:p>
            <w:pPr>
              <w:spacing w:line="400" w:lineRule="atLeast"/>
              <w:jc w:val="center"/>
              <w:rPr>
                <w:sz w:val="21"/>
                <w:szCs w:val="21"/>
              </w:rPr>
            </w:pPr>
          </w:p>
          <w:p>
            <w:pPr>
              <w:spacing w:line="400" w:lineRule="atLeast"/>
              <w:jc w:val="center"/>
              <w:rPr>
                <w:sz w:val="21"/>
                <w:szCs w:val="21"/>
              </w:rPr>
            </w:pPr>
          </w:p>
          <w:p>
            <w:pPr>
              <w:spacing w:line="400" w:lineRule="atLeast"/>
              <w:jc w:val="center"/>
              <w:rPr>
                <w:sz w:val="21"/>
                <w:szCs w:val="21"/>
              </w:rPr>
            </w:pPr>
          </w:p>
          <w:p>
            <w:pPr>
              <w:spacing w:line="400" w:lineRule="atLeast"/>
              <w:jc w:val="center"/>
              <w:rPr>
                <w:sz w:val="21"/>
                <w:szCs w:val="21"/>
              </w:rPr>
            </w:pPr>
          </w:p>
          <w:p>
            <w:pPr>
              <w:spacing w:line="400" w:lineRule="atLeast"/>
              <w:jc w:val="center"/>
              <w:rPr>
                <w:sz w:val="21"/>
                <w:szCs w:val="21"/>
              </w:rPr>
            </w:pPr>
          </w:p>
          <w:p>
            <w:pPr>
              <w:spacing w:line="400" w:lineRule="atLeast"/>
              <w:jc w:val="center"/>
              <w:rPr>
                <w:sz w:val="21"/>
                <w:szCs w:val="21"/>
              </w:rPr>
            </w:pPr>
          </w:p>
          <w:p>
            <w:pPr>
              <w:spacing w:line="400" w:lineRule="atLeast"/>
              <w:jc w:val="center"/>
              <w:rPr>
                <w:sz w:val="21"/>
                <w:szCs w:val="21"/>
              </w:rPr>
            </w:pPr>
          </w:p>
          <w:p>
            <w:pPr>
              <w:spacing w:line="400" w:lineRule="atLeast"/>
              <w:jc w:val="center"/>
              <w:rPr>
                <w:sz w:val="21"/>
                <w:szCs w:val="21"/>
              </w:rPr>
            </w:pPr>
          </w:p>
          <w:p>
            <w:pPr>
              <w:spacing w:line="400" w:lineRule="atLeast"/>
              <w:jc w:val="center"/>
              <w:rPr>
                <w:sz w:val="21"/>
                <w:szCs w:val="21"/>
              </w:rPr>
            </w:pPr>
          </w:p>
          <w:p>
            <w:pPr>
              <w:spacing w:line="400" w:lineRule="atLeast"/>
              <w:jc w:val="center"/>
              <w:rPr>
                <w:sz w:val="21"/>
                <w:szCs w:val="21"/>
              </w:rPr>
            </w:pPr>
          </w:p>
          <w:p>
            <w:pPr>
              <w:spacing w:line="400" w:lineRule="atLeast"/>
              <w:jc w:val="center"/>
              <w:rPr>
                <w:sz w:val="21"/>
                <w:szCs w:val="21"/>
              </w:rPr>
            </w:pPr>
          </w:p>
          <w:p>
            <w:pPr>
              <w:spacing w:line="400" w:lineRule="atLeast"/>
              <w:jc w:val="center"/>
              <w:rPr>
                <w:sz w:val="21"/>
                <w:szCs w:val="21"/>
              </w:rPr>
            </w:pPr>
          </w:p>
          <w:p>
            <w:pPr>
              <w:spacing w:line="400" w:lineRule="atLeast"/>
              <w:jc w:val="center"/>
              <w:rPr>
                <w:sz w:val="21"/>
                <w:szCs w:val="21"/>
              </w:rPr>
            </w:pPr>
          </w:p>
          <w:p>
            <w:pPr>
              <w:spacing w:line="400" w:lineRule="atLeast"/>
              <w:jc w:val="center"/>
              <w:rPr>
                <w:sz w:val="21"/>
                <w:szCs w:val="21"/>
              </w:rPr>
            </w:pPr>
            <w:r>
              <w:rPr>
                <w:sz w:val="21"/>
                <w:szCs w:val="21"/>
              </w:rPr>
              <w:t>2.1.1</w:t>
            </w:r>
          </w:p>
          <w:p>
            <w:pPr>
              <w:spacing w:line="400" w:lineRule="atLeast"/>
              <w:jc w:val="center"/>
              <w:rPr>
                <w:sz w:val="21"/>
                <w:szCs w:val="21"/>
              </w:rPr>
            </w:pPr>
            <w:r>
              <w:rPr>
                <w:sz w:val="21"/>
                <w:szCs w:val="21"/>
              </w:rPr>
              <w:t>2.1.3</w:t>
            </w:r>
          </w:p>
        </w:tc>
        <w:tc>
          <w:tcPr>
            <w:tcW w:w="1268" w:type="dxa"/>
            <w:tcBorders>
              <w:top w:val="single" w:color="auto" w:sz="4" w:space="0"/>
              <w:bottom w:val="single" w:color="auto" w:sz="4" w:space="0"/>
              <w:right w:val="single" w:color="auto" w:sz="4" w:space="0"/>
            </w:tcBorders>
            <w:vAlign w:val="center"/>
          </w:tcPr>
          <w:p>
            <w:pPr>
              <w:spacing w:line="400" w:lineRule="atLeast"/>
              <w:jc w:val="center"/>
              <w:rPr>
                <w:sz w:val="21"/>
                <w:szCs w:val="21"/>
              </w:rPr>
            </w:pPr>
          </w:p>
          <w:p>
            <w:pPr>
              <w:spacing w:line="400" w:lineRule="atLeast"/>
              <w:jc w:val="center"/>
              <w:rPr>
                <w:sz w:val="21"/>
                <w:szCs w:val="21"/>
              </w:rPr>
            </w:pPr>
          </w:p>
          <w:p>
            <w:pPr>
              <w:spacing w:line="400" w:lineRule="atLeast"/>
              <w:jc w:val="center"/>
              <w:rPr>
                <w:sz w:val="21"/>
                <w:szCs w:val="21"/>
              </w:rPr>
            </w:pPr>
          </w:p>
          <w:p>
            <w:pPr>
              <w:spacing w:line="400" w:lineRule="atLeast"/>
              <w:jc w:val="center"/>
              <w:rPr>
                <w:sz w:val="21"/>
                <w:szCs w:val="21"/>
              </w:rPr>
            </w:pPr>
          </w:p>
          <w:p>
            <w:pPr>
              <w:spacing w:line="400" w:lineRule="atLeast"/>
              <w:jc w:val="center"/>
              <w:rPr>
                <w:sz w:val="21"/>
                <w:szCs w:val="21"/>
              </w:rPr>
            </w:pPr>
          </w:p>
          <w:p>
            <w:pPr>
              <w:spacing w:line="400" w:lineRule="atLeast"/>
              <w:jc w:val="center"/>
              <w:rPr>
                <w:sz w:val="21"/>
                <w:szCs w:val="21"/>
              </w:rPr>
            </w:pPr>
          </w:p>
          <w:p>
            <w:pPr>
              <w:spacing w:line="400" w:lineRule="atLeast"/>
              <w:jc w:val="center"/>
              <w:rPr>
                <w:sz w:val="21"/>
                <w:szCs w:val="21"/>
              </w:rPr>
            </w:pPr>
          </w:p>
          <w:p>
            <w:pPr>
              <w:spacing w:line="400" w:lineRule="atLeast"/>
              <w:jc w:val="center"/>
              <w:rPr>
                <w:sz w:val="21"/>
                <w:szCs w:val="21"/>
              </w:rPr>
            </w:pPr>
          </w:p>
          <w:p>
            <w:pPr>
              <w:spacing w:line="400" w:lineRule="atLeast"/>
              <w:jc w:val="center"/>
              <w:rPr>
                <w:sz w:val="21"/>
                <w:szCs w:val="21"/>
              </w:rPr>
            </w:pPr>
          </w:p>
          <w:p>
            <w:pPr>
              <w:spacing w:line="400" w:lineRule="atLeast"/>
              <w:jc w:val="center"/>
              <w:rPr>
                <w:sz w:val="21"/>
                <w:szCs w:val="21"/>
              </w:rPr>
            </w:pPr>
          </w:p>
          <w:p>
            <w:pPr>
              <w:spacing w:line="400" w:lineRule="atLeast"/>
              <w:jc w:val="center"/>
              <w:rPr>
                <w:sz w:val="21"/>
                <w:szCs w:val="21"/>
              </w:rPr>
            </w:pPr>
          </w:p>
          <w:p>
            <w:pPr>
              <w:spacing w:line="400" w:lineRule="atLeast"/>
              <w:jc w:val="center"/>
              <w:rPr>
                <w:sz w:val="21"/>
                <w:szCs w:val="21"/>
              </w:rPr>
            </w:pPr>
          </w:p>
          <w:p>
            <w:pPr>
              <w:spacing w:line="400" w:lineRule="atLeast"/>
              <w:jc w:val="center"/>
              <w:rPr>
                <w:sz w:val="21"/>
                <w:szCs w:val="21"/>
              </w:rPr>
            </w:pPr>
            <w:r>
              <w:rPr>
                <w:sz w:val="21"/>
                <w:szCs w:val="21"/>
              </w:rPr>
              <w:t>形式评审与响应性评审标准</w:t>
            </w:r>
          </w:p>
          <w:p>
            <w:pPr>
              <w:spacing w:line="400" w:lineRule="atLeast"/>
              <w:jc w:val="center"/>
              <w:rPr>
                <w:sz w:val="21"/>
                <w:szCs w:val="21"/>
              </w:rPr>
            </w:pPr>
          </w:p>
          <w:p>
            <w:pPr>
              <w:spacing w:line="400" w:lineRule="atLeast"/>
              <w:jc w:val="center"/>
              <w:rPr>
                <w:sz w:val="21"/>
                <w:szCs w:val="21"/>
              </w:rPr>
            </w:pPr>
          </w:p>
          <w:p>
            <w:pPr>
              <w:spacing w:line="400" w:lineRule="atLeast"/>
              <w:jc w:val="center"/>
              <w:rPr>
                <w:sz w:val="21"/>
                <w:szCs w:val="21"/>
              </w:rPr>
            </w:pPr>
          </w:p>
          <w:p>
            <w:pPr>
              <w:spacing w:line="400" w:lineRule="atLeast"/>
              <w:jc w:val="center"/>
              <w:rPr>
                <w:sz w:val="21"/>
                <w:szCs w:val="21"/>
              </w:rPr>
            </w:pPr>
          </w:p>
          <w:p>
            <w:pPr>
              <w:spacing w:line="400" w:lineRule="atLeast"/>
              <w:jc w:val="center"/>
              <w:rPr>
                <w:sz w:val="21"/>
                <w:szCs w:val="21"/>
              </w:rPr>
            </w:pPr>
          </w:p>
          <w:p>
            <w:pPr>
              <w:spacing w:line="400" w:lineRule="atLeast"/>
              <w:jc w:val="center"/>
              <w:rPr>
                <w:sz w:val="21"/>
                <w:szCs w:val="21"/>
              </w:rPr>
            </w:pPr>
          </w:p>
          <w:p>
            <w:pPr>
              <w:spacing w:line="400" w:lineRule="atLeast"/>
              <w:jc w:val="center"/>
              <w:rPr>
                <w:sz w:val="21"/>
                <w:szCs w:val="21"/>
              </w:rPr>
            </w:pPr>
          </w:p>
          <w:p>
            <w:pPr>
              <w:spacing w:line="400" w:lineRule="atLeast"/>
              <w:jc w:val="center"/>
              <w:rPr>
                <w:sz w:val="21"/>
                <w:szCs w:val="21"/>
              </w:rPr>
            </w:pPr>
          </w:p>
          <w:p>
            <w:pPr>
              <w:spacing w:line="400" w:lineRule="atLeast"/>
              <w:jc w:val="center"/>
              <w:rPr>
                <w:sz w:val="21"/>
                <w:szCs w:val="21"/>
              </w:rPr>
            </w:pPr>
          </w:p>
          <w:p>
            <w:pPr>
              <w:spacing w:line="400" w:lineRule="atLeast"/>
              <w:jc w:val="center"/>
              <w:rPr>
                <w:sz w:val="21"/>
                <w:szCs w:val="21"/>
              </w:rPr>
            </w:pPr>
          </w:p>
          <w:p>
            <w:pPr>
              <w:spacing w:line="400" w:lineRule="atLeast"/>
              <w:jc w:val="center"/>
              <w:rPr>
                <w:sz w:val="21"/>
                <w:szCs w:val="21"/>
              </w:rPr>
            </w:pPr>
          </w:p>
          <w:p>
            <w:pPr>
              <w:spacing w:line="400" w:lineRule="atLeast"/>
              <w:jc w:val="center"/>
              <w:rPr>
                <w:sz w:val="21"/>
                <w:szCs w:val="21"/>
              </w:rPr>
            </w:pPr>
          </w:p>
          <w:p>
            <w:pPr>
              <w:spacing w:line="400" w:lineRule="atLeast"/>
              <w:jc w:val="center"/>
              <w:rPr>
                <w:sz w:val="21"/>
                <w:szCs w:val="21"/>
              </w:rPr>
            </w:pPr>
          </w:p>
          <w:p>
            <w:pPr>
              <w:spacing w:line="400" w:lineRule="atLeast"/>
              <w:jc w:val="center"/>
              <w:rPr>
                <w:sz w:val="21"/>
                <w:szCs w:val="21"/>
              </w:rPr>
            </w:pPr>
          </w:p>
          <w:p>
            <w:pPr>
              <w:spacing w:line="400" w:lineRule="atLeast"/>
              <w:jc w:val="center"/>
              <w:rPr>
                <w:sz w:val="21"/>
                <w:szCs w:val="21"/>
              </w:rPr>
            </w:pPr>
            <w:r>
              <w:rPr>
                <w:sz w:val="21"/>
                <w:szCs w:val="21"/>
              </w:rPr>
              <w:t>形式评审与响应性评审标准</w:t>
            </w:r>
          </w:p>
        </w:tc>
        <w:tc>
          <w:tcPr>
            <w:tcW w:w="7021" w:type="dxa"/>
            <w:tcBorders>
              <w:top w:val="single" w:color="auto" w:sz="4" w:space="0"/>
              <w:left w:val="single" w:color="auto" w:sz="4" w:space="0"/>
              <w:right w:val="single" w:color="auto" w:sz="4" w:space="0"/>
            </w:tcBorders>
            <w:vAlign w:val="center"/>
          </w:tcPr>
          <w:p>
            <w:pPr>
              <w:rPr>
                <w:rFonts w:hAnsi="宋体" w:cs="宋体"/>
                <w:sz w:val="21"/>
                <w:szCs w:val="21"/>
              </w:rPr>
            </w:pPr>
            <w:r>
              <w:rPr>
                <w:rFonts w:hint="eastAsia" w:hAnsi="宋体" w:cs="宋体"/>
                <w:sz w:val="21"/>
                <w:szCs w:val="21"/>
              </w:rPr>
              <w:t>第一信封：</w:t>
            </w:r>
          </w:p>
          <w:p>
            <w:pPr>
              <w:rPr>
                <w:rFonts w:hAnsi="宋体" w:cs="宋体"/>
                <w:sz w:val="21"/>
                <w:szCs w:val="21"/>
              </w:rPr>
            </w:pPr>
            <w:r>
              <w:rPr>
                <w:rFonts w:hint="eastAsia" w:hAnsi="宋体" w:cs="宋体"/>
                <w:sz w:val="21"/>
                <w:szCs w:val="21"/>
              </w:rPr>
              <w:t>(1)投标文件按照招标文件规定的格式、内容填写，字迹清晰可辨：</w:t>
            </w:r>
          </w:p>
          <w:p>
            <w:pPr>
              <w:rPr>
                <w:rFonts w:hAnsi="宋体" w:cs="宋体"/>
                <w:sz w:val="21"/>
                <w:szCs w:val="21"/>
              </w:rPr>
            </w:pPr>
            <w:r>
              <w:rPr>
                <w:rFonts w:hint="eastAsia" w:hAnsi="宋体" w:cs="宋体"/>
                <w:sz w:val="21"/>
                <w:szCs w:val="21"/>
              </w:rPr>
              <w:t>a.投标函按招标文件规定填报了工期、工程质量目标；</w:t>
            </w:r>
          </w:p>
          <w:p>
            <w:pPr>
              <w:rPr>
                <w:rFonts w:hAnsi="宋体" w:cs="宋体"/>
                <w:sz w:val="21"/>
                <w:szCs w:val="21"/>
              </w:rPr>
            </w:pPr>
            <w:r>
              <w:rPr>
                <w:rFonts w:hint="eastAsia" w:hAnsi="宋体" w:cs="宋体"/>
                <w:sz w:val="21"/>
                <w:szCs w:val="21"/>
              </w:rPr>
              <w:t>b.按照招标文件规定的格式、内容编制了技术方案；</w:t>
            </w:r>
          </w:p>
          <w:p>
            <w:pPr>
              <w:rPr>
                <w:rFonts w:hAnsi="宋体" w:cs="宋体"/>
                <w:sz w:val="21"/>
                <w:szCs w:val="21"/>
              </w:rPr>
            </w:pPr>
            <w:r>
              <w:rPr>
                <w:rFonts w:hint="eastAsia" w:hAnsi="宋体" w:cs="宋体"/>
                <w:sz w:val="21"/>
                <w:szCs w:val="21"/>
              </w:rPr>
              <w:t>c.投标文件组成齐全完整，内容均按规定填写；</w:t>
            </w:r>
          </w:p>
          <w:p>
            <w:pPr>
              <w:rPr>
                <w:rFonts w:hAnsi="宋体" w:cs="宋体"/>
                <w:sz w:val="21"/>
                <w:szCs w:val="21"/>
              </w:rPr>
            </w:pPr>
            <w:r>
              <w:rPr>
                <w:rFonts w:hint="eastAsia" w:hAnsi="宋体" w:cs="宋体"/>
                <w:sz w:val="21"/>
                <w:szCs w:val="21"/>
              </w:rPr>
              <w:t>(2)投标文件上法定代表人或其授权代理人的签字、投标人的单位章盖章齐全，符合招标文件规定：</w:t>
            </w:r>
          </w:p>
          <w:p>
            <w:pPr>
              <w:rPr>
                <w:rFonts w:hAnsi="宋体" w:cs="宋体"/>
                <w:sz w:val="21"/>
                <w:szCs w:val="21"/>
              </w:rPr>
            </w:pPr>
            <w:r>
              <w:rPr>
                <w:rFonts w:hint="eastAsia" w:hAnsi="宋体" w:cs="宋体"/>
                <w:sz w:val="21"/>
                <w:szCs w:val="21"/>
              </w:rPr>
              <w:t>投标函内容应由投标人的法定代表人或其委托代理人签署姓名并加盖投标人单位章。</w:t>
            </w:r>
          </w:p>
          <w:p>
            <w:pPr>
              <w:rPr>
                <w:rFonts w:hAnsi="宋体" w:cs="宋体"/>
                <w:sz w:val="21"/>
                <w:szCs w:val="21"/>
              </w:rPr>
            </w:pPr>
            <w:r>
              <w:rPr>
                <w:rFonts w:hint="eastAsia" w:hAnsi="宋体" w:cs="宋体"/>
                <w:sz w:val="21"/>
                <w:szCs w:val="21"/>
              </w:rPr>
              <w:t>（3）投标人按照招标文件规定的金额、形式、时效和内容提供了投标担保。</w:t>
            </w:r>
          </w:p>
          <w:p>
            <w:pPr>
              <w:rPr>
                <w:rFonts w:hAnsi="宋体" w:cs="宋体"/>
                <w:sz w:val="21"/>
                <w:szCs w:val="21"/>
              </w:rPr>
            </w:pPr>
            <w:r>
              <w:rPr>
                <w:rFonts w:hint="eastAsia" w:hAnsi="宋体" w:cs="宋体"/>
                <w:sz w:val="21"/>
                <w:szCs w:val="21"/>
              </w:rPr>
              <w:t>(4)投标人法定代表人的授权代理人，需提交附有法定代表人身份证明的授权委托书，并符合下列要求：</w:t>
            </w:r>
          </w:p>
          <w:p>
            <w:pPr>
              <w:rPr>
                <w:rFonts w:hAnsi="宋体" w:cs="宋体"/>
                <w:sz w:val="21"/>
                <w:szCs w:val="21"/>
              </w:rPr>
            </w:pPr>
            <w:r>
              <w:rPr>
                <w:rFonts w:hint="eastAsia" w:hAnsi="宋体" w:cs="宋体"/>
                <w:sz w:val="21"/>
                <w:szCs w:val="21"/>
              </w:rPr>
              <w:t>a．授权人和被授权人均在授权书上签名，未使用印章、签名章或其他电子制版签名；</w:t>
            </w:r>
          </w:p>
          <w:p>
            <w:pPr>
              <w:rPr>
                <w:rFonts w:hAnsi="宋体" w:cs="宋体"/>
                <w:sz w:val="21"/>
                <w:szCs w:val="21"/>
              </w:rPr>
            </w:pPr>
            <w:r>
              <w:rPr>
                <w:rFonts w:hint="eastAsia" w:hAnsi="宋体" w:cs="宋体"/>
                <w:b/>
                <w:sz w:val="21"/>
                <w:szCs w:val="21"/>
              </w:rPr>
              <w:t xml:space="preserve"> </w:t>
            </w:r>
            <w:r>
              <w:rPr>
                <w:rFonts w:hint="eastAsia" w:hAnsi="宋体" w:cs="宋体"/>
                <w:sz w:val="21"/>
                <w:szCs w:val="21"/>
              </w:rPr>
              <w:t>(5)投标人法定代表人若亲自签署投标文件的，提供了法定代表人身份证明，并符合下列要求：</w:t>
            </w:r>
          </w:p>
          <w:p>
            <w:pPr>
              <w:rPr>
                <w:rFonts w:hAnsi="宋体" w:cs="宋体"/>
                <w:sz w:val="21"/>
                <w:szCs w:val="21"/>
              </w:rPr>
            </w:pPr>
            <w:r>
              <w:rPr>
                <w:rFonts w:hint="eastAsia" w:hAnsi="宋体" w:cs="宋体"/>
                <w:sz w:val="21"/>
                <w:szCs w:val="21"/>
              </w:rPr>
              <w:t>a．法定代表人在法定代表人身份证明上签名，未使用印章、签名章或其他电子制版签名；</w:t>
            </w:r>
          </w:p>
          <w:p>
            <w:pPr>
              <w:rPr>
                <w:rFonts w:hAnsi="宋体" w:cs="宋体"/>
                <w:sz w:val="21"/>
                <w:szCs w:val="21"/>
              </w:rPr>
            </w:pPr>
            <w:r>
              <w:rPr>
                <w:rFonts w:hint="eastAsia" w:hAnsi="宋体" w:cs="宋体"/>
                <w:sz w:val="21"/>
                <w:szCs w:val="21"/>
              </w:rPr>
              <w:t>（6）投标人必须独立投标，不得以联合体形式参加投标。</w:t>
            </w:r>
          </w:p>
          <w:p>
            <w:pPr>
              <w:rPr>
                <w:rFonts w:hAnsi="宋体" w:cs="宋体"/>
                <w:sz w:val="21"/>
                <w:szCs w:val="21"/>
              </w:rPr>
            </w:pPr>
            <w:r>
              <w:rPr>
                <w:rFonts w:hint="eastAsia" w:hAnsi="宋体" w:cs="宋体"/>
                <w:sz w:val="21"/>
                <w:szCs w:val="21"/>
              </w:rPr>
              <w:t>(7)投标文件载明的招标项目完成期限未超过招标文件规定的时限。</w:t>
            </w:r>
          </w:p>
          <w:p>
            <w:pPr>
              <w:rPr>
                <w:rFonts w:hAnsi="宋体" w:cs="宋体"/>
                <w:sz w:val="21"/>
                <w:szCs w:val="21"/>
              </w:rPr>
            </w:pPr>
            <w:r>
              <w:rPr>
                <w:rFonts w:hint="eastAsia" w:hAnsi="宋体" w:cs="宋体"/>
                <w:sz w:val="21"/>
                <w:szCs w:val="21"/>
              </w:rPr>
              <w:t>(8)投标文件未附有招标人不能接受的条件；</w:t>
            </w:r>
          </w:p>
          <w:p>
            <w:pPr>
              <w:rPr>
                <w:rFonts w:hAnsi="宋体" w:cs="宋体"/>
                <w:sz w:val="21"/>
                <w:szCs w:val="21"/>
              </w:rPr>
            </w:pPr>
            <w:r>
              <w:rPr>
                <w:rFonts w:hint="eastAsia" w:hAnsi="宋体" w:cs="宋体"/>
                <w:sz w:val="21"/>
                <w:szCs w:val="21"/>
              </w:rPr>
              <w:t>(9)权利义务符合招标文件规定：</w:t>
            </w:r>
          </w:p>
          <w:p>
            <w:pPr>
              <w:rPr>
                <w:rFonts w:hAnsi="宋体" w:cs="宋体"/>
                <w:sz w:val="21"/>
                <w:szCs w:val="21"/>
              </w:rPr>
            </w:pPr>
            <w:r>
              <w:rPr>
                <w:rFonts w:hint="eastAsia" w:hAnsi="宋体" w:cs="宋体"/>
                <w:sz w:val="21"/>
                <w:szCs w:val="21"/>
              </w:rPr>
              <w:t>a.投标人应接受招标文件规定的风险划分原则，未提出新的风险划分办法；</w:t>
            </w:r>
          </w:p>
          <w:p>
            <w:pPr>
              <w:rPr>
                <w:rFonts w:hAnsi="宋体" w:cs="宋体"/>
                <w:sz w:val="21"/>
                <w:szCs w:val="21"/>
              </w:rPr>
            </w:pPr>
            <w:r>
              <w:rPr>
                <w:rFonts w:hint="eastAsia" w:hAnsi="宋体" w:cs="宋体"/>
                <w:sz w:val="21"/>
                <w:szCs w:val="21"/>
              </w:rPr>
              <w:t>b.投标人未增加发包人的责任范围，或减少投标人义务；</w:t>
            </w:r>
          </w:p>
          <w:p>
            <w:pPr>
              <w:rPr>
                <w:rFonts w:hAnsi="宋体" w:cs="宋体"/>
                <w:sz w:val="21"/>
                <w:szCs w:val="21"/>
              </w:rPr>
            </w:pPr>
            <w:r>
              <w:rPr>
                <w:rFonts w:hint="eastAsia" w:hAnsi="宋体" w:cs="宋体"/>
                <w:sz w:val="21"/>
                <w:szCs w:val="21"/>
              </w:rPr>
              <w:t>c.投标人未提出不同的工程验收、计量、支付办法；</w:t>
            </w:r>
          </w:p>
          <w:p>
            <w:pPr>
              <w:rPr>
                <w:rFonts w:hAnsi="宋体" w:cs="宋体"/>
                <w:sz w:val="21"/>
                <w:szCs w:val="21"/>
              </w:rPr>
            </w:pPr>
            <w:r>
              <w:rPr>
                <w:rFonts w:hint="eastAsia" w:hAnsi="宋体" w:cs="宋体"/>
                <w:sz w:val="21"/>
                <w:szCs w:val="21"/>
              </w:rPr>
              <w:t>d.投标人对合同纠纷、事故处理办法未提出异议；</w:t>
            </w:r>
          </w:p>
          <w:p>
            <w:pPr>
              <w:rPr>
                <w:rFonts w:hAnsi="宋体" w:cs="宋体"/>
                <w:sz w:val="21"/>
                <w:szCs w:val="21"/>
              </w:rPr>
            </w:pPr>
            <w:r>
              <w:rPr>
                <w:rFonts w:hint="eastAsia" w:hAnsi="宋体" w:cs="宋体"/>
                <w:sz w:val="21"/>
                <w:szCs w:val="21"/>
              </w:rPr>
              <w:t>e.投标人在投标活动中无欺诈行为；</w:t>
            </w:r>
          </w:p>
          <w:p>
            <w:pPr>
              <w:rPr>
                <w:rFonts w:hAnsi="宋体" w:cs="宋体"/>
                <w:sz w:val="21"/>
                <w:szCs w:val="21"/>
              </w:rPr>
            </w:pPr>
            <w:r>
              <w:rPr>
                <w:rFonts w:hint="eastAsia" w:hAnsi="宋体" w:cs="宋体"/>
                <w:sz w:val="21"/>
                <w:szCs w:val="21"/>
              </w:rPr>
              <w:t>f.投标人未对合同条款有重要保留。</w:t>
            </w:r>
          </w:p>
          <w:p>
            <w:pPr>
              <w:rPr>
                <w:rFonts w:hAnsi="宋体" w:cs="宋体"/>
                <w:sz w:val="21"/>
                <w:szCs w:val="21"/>
              </w:rPr>
            </w:pPr>
            <w:r>
              <w:rPr>
                <w:rFonts w:hint="eastAsia" w:hAnsi="宋体" w:cs="宋体"/>
                <w:sz w:val="21"/>
                <w:szCs w:val="21"/>
              </w:rPr>
              <w:t>（10）按照招标文件技术规范要求提供售后服务承诺书、安徽交控集团信息化安全项目通用准则承诺等相关资料。</w:t>
            </w:r>
          </w:p>
          <w:p>
            <w:pPr>
              <w:rPr>
                <w:rFonts w:hAnsi="宋体" w:cs="宋体"/>
                <w:sz w:val="21"/>
                <w:szCs w:val="21"/>
              </w:rPr>
            </w:pPr>
            <w:r>
              <w:rPr>
                <w:rFonts w:hint="eastAsia" w:hAnsi="宋体" w:cs="宋体"/>
                <w:sz w:val="21"/>
                <w:szCs w:val="21"/>
              </w:rPr>
              <w:t>第二信封：</w:t>
            </w:r>
          </w:p>
          <w:p>
            <w:pPr>
              <w:rPr>
                <w:rFonts w:hAnsi="宋体" w:cs="宋体"/>
                <w:sz w:val="21"/>
                <w:szCs w:val="21"/>
              </w:rPr>
            </w:pPr>
            <w:r>
              <w:rPr>
                <w:rFonts w:hint="eastAsia" w:hAnsi="宋体" w:cs="宋体"/>
                <w:sz w:val="21"/>
                <w:szCs w:val="21"/>
              </w:rPr>
              <w:t>(1)投标文件按照招标文件规定的格式、内容填写，字迹清晰可辨：</w:t>
            </w:r>
          </w:p>
          <w:p>
            <w:pPr>
              <w:rPr>
                <w:rFonts w:hAnsi="宋体" w:cs="宋体"/>
                <w:sz w:val="21"/>
                <w:szCs w:val="21"/>
              </w:rPr>
            </w:pPr>
            <w:r>
              <w:rPr>
                <w:rFonts w:hint="eastAsia" w:hAnsi="宋体" w:cs="宋体"/>
                <w:sz w:val="21"/>
                <w:szCs w:val="21"/>
              </w:rPr>
              <w:t>a.投标函按招标文件规定填报了投标价；</w:t>
            </w:r>
          </w:p>
          <w:p>
            <w:pPr>
              <w:rPr>
                <w:rFonts w:hAnsi="宋体" w:cs="宋体"/>
                <w:sz w:val="21"/>
                <w:szCs w:val="21"/>
              </w:rPr>
            </w:pPr>
            <w:r>
              <w:rPr>
                <w:rFonts w:hint="eastAsia" w:hAnsi="宋体" w:cs="宋体"/>
                <w:sz w:val="21"/>
                <w:szCs w:val="21"/>
              </w:rPr>
              <w:t>b.已标价工程量清单及说明文字与招标文件规定一致，未进行修改和删减；</w:t>
            </w:r>
          </w:p>
          <w:p>
            <w:pPr>
              <w:rPr>
                <w:rFonts w:hAnsi="宋体" w:cs="宋体"/>
                <w:sz w:val="21"/>
                <w:szCs w:val="21"/>
              </w:rPr>
            </w:pPr>
            <w:r>
              <w:rPr>
                <w:rFonts w:hint="eastAsia" w:hAnsi="宋体" w:cs="宋体"/>
                <w:sz w:val="21"/>
                <w:szCs w:val="21"/>
              </w:rPr>
              <w:t>c.投标文件组成齐全完整，内容均按规定填写。</w:t>
            </w:r>
          </w:p>
          <w:p>
            <w:pPr>
              <w:rPr>
                <w:rFonts w:hAnsi="宋体" w:cs="宋体"/>
                <w:sz w:val="21"/>
                <w:szCs w:val="21"/>
              </w:rPr>
            </w:pPr>
            <w:r>
              <w:rPr>
                <w:rFonts w:hint="eastAsia" w:hAnsi="宋体" w:cs="宋体"/>
                <w:sz w:val="21"/>
                <w:szCs w:val="21"/>
              </w:rPr>
              <w:t>(2) 投标文件上法定代表人或其授权代理人的签字、投标人的单位章盖章齐全，符合招标文件规定：</w:t>
            </w:r>
          </w:p>
          <w:p>
            <w:pPr>
              <w:rPr>
                <w:rFonts w:hAnsi="宋体" w:cs="宋体"/>
                <w:sz w:val="21"/>
                <w:szCs w:val="21"/>
              </w:rPr>
            </w:pPr>
            <w:r>
              <w:rPr>
                <w:rFonts w:hint="eastAsia" w:hAnsi="宋体" w:cs="宋体"/>
                <w:sz w:val="21"/>
                <w:szCs w:val="21"/>
              </w:rPr>
              <w:t>投标函及已标价工程量清单(包括工程量清单及说明、投标报价说明、计日工说明、其他说明及工程量清单各项表格)的内容应由投标人的法定代表人或其委托代理人逐页签署姓名（本页正文内容已由投标人的法定代表人或其委托代理人签署姓名的可不签署)并逐页加盖投标人单位章(本页正文内容已加盖单位章的除外)。</w:t>
            </w:r>
          </w:p>
          <w:p>
            <w:pPr>
              <w:rPr>
                <w:rFonts w:hAnsi="宋体" w:cs="宋体"/>
                <w:sz w:val="21"/>
                <w:szCs w:val="21"/>
              </w:rPr>
            </w:pPr>
            <w:r>
              <w:rPr>
                <w:rFonts w:hint="eastAsia" w:hAnsi="宋体" w:cs="宋体"/>
                <w:sz w:val="21"/>
                <w:szCs w:val="21"/>
              </w:rPr>
              <w:t>(3)一份投标文件应只有一个投标报价，不得提交选择性报价。</w:t>
            </w:r>
          </w:p>
          <w:p>
            <w:pPr>
              <w:rPr>
                <w:rFonts w:hAnsi="宋体" w:cs="宋体"/>
                <w:b/>
                <w:sz w:val="21"/>
                <w:szCs w:val="21"/>
              </w:rPr>
            </w:pPr>
            <w:r>
              <w:rPr>
                <w:rFonts w:hint="eastAsia" w:hAnsi="宋体" w:cs="宋体"/>
                <w:b/>
                <w:sz w:val="21"/>
                <w:szCs w:val="21"/>
              </w:rPr>
              <w:t>(4)投标人未以调价函的形式进行投标报价。</w:t>
            </w:r>
          </w:p>
          <w:p>
            <w:pPr>
              <w:rPr>
                <w:rFonts w:hAnsi="宋体"/>
                <w:sz w:val="21"/>
                <w:szCs w:val="21"/>
              </w:rPr>
            </w:pPr>
            <w:r>
              <w:rPr>
                <w:rFonts w:hint="eastAsia" w:hAnsi="宋体" w:cs="宋体"/>
                <w:sz w:val="21"/>
                <w:szCs w:val="21"/>
              </w:rPr>
              <w:t>(5)投标人填写完毕的工程量清单未对工程量清单电子文件中的数据、格式和运算定义进行修改。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690" w:hRule="atLeast"/>
          <w:jc w:val="center"/>
        </w:trPr>
        <w:tc>
          <w:tcPr>
            <w:tcW w:w="981" w:type="dxa"/>
            <w:tcBorders>
              <w:top w:val="single" w:color="auto" w:sz="4" w:space="0"/>
              <w:right w:val="single" w:color="auto" w:sz="4" w:space="0"/>
            </w:tcBorders>
            <w:vAlign w:val="center"/>
          </w:tcPr>
          <w:p>
            <w:pPr>
              <w:spacing w:line="400" w:lineRule="atLeast"/>
              <w:jc w:val="center"/>
              <w:rPr>
                <w:sz w:val="21"/>
                <w:szCs w:val="21"/>
              </w:rPr>
            </w:pPr>
            <w:r>
              <w:rPr>
                <w:sz w:val="21"/>
                <w:szCs w:val="21"/>
              </w:rPr>
              <w:t>2.1.2</w:t>
            </w:r>
          </w:p>
        </w:tc>
        <w:tc>
          <w:tcPr>
            <w:tcW w:w="1268" w:type="dxa"/>
            <w:tcBorders>
              <w:top w:val="single" w:color="auto" w:sz="4" w:space="0"/>
              <w:right w:val="single" w:color="auto" w:sz="4" w:space="0"/>
            </w:tcBorders>
            <w:vAlign w:val="center"/>
          </w:tcPr>
          <w:p>
            <w:pPr>
              <w:spacing w:line="400" w:lineRule="atLeast"/>
              <w:jc w:val="center"/>
              <w:rPr>
                <w:sz w:val="21"/>
                <w:szCs w:val="21"/>
              </w:rPr>
            </w:pPr>
            <w:r>
              <w:rPr>
                <w:sz w:val="21"/>
                <w:szCs w:val="21"/>
              </w:rPr>
              <w:t>资格评审标准</w:t>
            </w:r>
          </w:p>
        </w:tc>
        <w:tc>
          <w:tcPr>
            <w:tcW w:w="7021" w:type="dxa"/>
            <w:tcBorders>
              <w:top w:val="single" w:color="auto" w:sz="4" w:space="0"/>
              <w:left w:val="single" w:color="auto" w:sz="4" w:space="0"/>
              <w:right w:val="single" w:color="auto" w:sz="4" w:space="0"/>
            </w:tcBorders>
            <w:vAlign w:val="center"/>
          </w:tcPr>
          <w:p>
            <w:pPr>
              <w:autoSpaceDE/>
              <w:autoSpaceDN/>
              <w:adjustRightInd/>
              <w:spacing w:line="340" w:lineRule="exact"/>
              <w:ind w:right="113"/>
              <w:jc w:val="both"/>
              <w:textAlignment w:val="auto"/>
              <w:rPr>
                <w:rFonts w:hAnsi="宋体" w:cs="宋体"/>
                <w:sz w:val="21"/>
                <w:szCs w:val="21"/>
              </w:rPr>
            </w:pPr>
            <w:r>
              <w:rPr>
                <w:rFonts w:hint="eastAsia" w:hAnsi="宋体" w:cs="宋体"/>
                <w:sz w:val="21"/>
                <w:szCs w:val="21"/>
              </w:rPr>
              <w:t>（1）投标人具备有效的营业执照和基本账户开户许可证；</w:t>
            </w:r>
          </w:p>
          <w:p>
            <w:pPr>
              <w:autoSpaceDE/>
              <w:autoSpaceDN/>
              <w:adjustRightInd/>
              <w:spacing w:line="340" w:lineRule="exact"/>
              <w:ind w:right="113"/>
              <w:jc w:val="both"/>
              <w:textAlignment w:val="auto"/>
              <w:rPr>
                <w:rFonts w:hAnsi="宋体" w:cs="宋体"/>
                <w:sz w:val="21"/>
                <w:szCs w:val="21"/>
              </w:rPr>
            </w:pPr>
            <w:r>
              <w:rPr>
                <w:rFonts w:hint="eastAsia" w:hAnsi="宋体" w:cs="宋体"/>
                <w:sz w:val="21"/>
                <w:szCs w:val="21"/>
              </w:rPr>
              <w:t>（2）投标人的资质等级符合招标文件规定；</w:t>
            </w:r>
          </w:p>
          <w:p>
            <w:pPr>
              <w:spacing w:line="340" w:lineRule="exact"/>
              <w:ind w:right="113"/>
              <w:rPr>
                <w:rFonts w:hAnsi="宋体" w:cs="宋体"/>
                <w:sz w:val="21"/>
                <w:szCs w:val="21"/>
              </w:rPr>
            </w:pPr>
            <w:r>
              <w:rPr>
                <w:rFonts w:hint="eastAsia" w:hAnsi="宋体" w:cs="宋体"/>
                <w:sz w:val="21"/>
                <w:szCs w:val="21"/>
              </w:rPr>
              <w:t>（3）投标人的财务状况应符合招标文件规定；</w:t>
            </w:r>
          </w:p>
          <w:p>
            <w:pPr>
              <w:spacing w:line="340" w:lineRule="exact"/>
              <w:ind w:right="113"/>
              <w:rPr>
                <w:rFonts w:hAnsi="宋体" w:cs="宋体"/>
                <w:sz w:val="21"/>
                <w:szCs w:val="21"/>
              </w:rPr>
            </w:pPr>
            <w:r>
              <w:rPr>
                <w:rFonts w:hint="eastAsia" w:hAnsi="宋体" w:cs="宋体"/>
                <w:sz w:val="21"/>
                <w:szCs w:val="21"/>
              </w:rPr>
              <w:t>（4）投标人的业绩符合招标文件规定；</w:t>
            </w:r>
          </w:p>
          <w:p>
            <w:pPr>
              <w:spacing w:line="340" w:lineRule="exact"/>
              <w:ind w:right="113"/>
              <w:rPr>
                <w:rFonts w:hAnsi="宋体" w:cs="宋体"/>
                <w:sz w:val="21"/>
                <w:szCs w:val="21"/>
              </w:rPr>
            </w:pPr>
            <w:r>
              <w:rPr>
                <w:rFonts w:hint="eastAsia" w:hAnsi="宋体" w:cs="宋体"/>
                <w:sz w:val="21"/>
                <w:szCs w:val="21"/>
              </w:rPr>
              <w:t>（5）投标人的信誉符合招标文件规定；</w:t>
            </w:r>
          </w:p>
          <w:p>
            <w:pPr>
              <w:spacing w:line="340" w:lineRule="exact"/>
              <w:ind w:right="113"/>
              <w:rPr>
                <w:rFonts w:hAnsi="宋体" w:cs="宋体"/>
                <w:sz w:val="21"/>
                <w:szCs w:val="21"/>
              </w:rPr>
            </w:pPr>
            <w:r>
              <w:rPr>
                <w:rFonts w:hint="eastAsia" w:hAnsi="宋体" w:cs="宋体"/>
                <w:sz w:val="21"/>
                <w:szCs w:val="21"/>
              </w:rPr>
              <w:t>（6）投标人的项目负责人资格符合招标文件规定；</w:t>
            </w:r>
          </w:p>
          <w:p>
            <w:pPr>
              <w:spacing w:line="320" w:lineRule="exact"/>
              <w:rPr>
                <w:rFonts w:hAnsi="宋体"/>
                <w:sz w:val="21"/>
                <w:szCs w:val="21"/>
              </w:rPr>
            </w:pPr>
            <w:r>
              <w:rPr>
                <w:rFonts w:hint="eastAsia" w:hAnsi="宋体" w:cs="宋体"/>
                <w:sz w:val="21"/>
                <w:szCs w:val="21"/>
              </w:rPr>
              <w:t>（7）投标人的其他要求符合招标文件规定；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99" w:hRule="atLeast"/>
          <w:jc w:val="center"/>
        </w:trPr>
        <w:tc>
          <w:tcPr>
            <w:tcW w:w="981" w:type="dxa"/>
            <w:tcBorders>
              <w:top w:val="single" w:color="auto" w:sz="4" w:space="0"/>
              <w:bottom w:val="single" w:color="auto" w:sz="4" w:space="0"/>
              <w:right w:val="single" w:color="auto" w:sz="4" w:space="0"/>
            </w:tcBorders>
            <w:vAlign w:val="center"/>
          </w:tcPr>
          <w:p>
            <w:pPr>
              <w:spacing w:line="400" w:lineRule="atLeast"/>
              <w:jc w:val="center"/>
              <w:rPr>
                <w:rFonts w:hAnsi="宋体"/>
                <w:sz w:val="21"/>
                <w:szCs w:val="21"/>
              </w:rPr>
            </w:pPr>
            <w:r>
              <w:rPr>
                <w:sz w:val="21"/>
                <w:szCs w:val="21"/>
              </w:rPr>
              <w:t>2.2</w:t>
            </w:r>
            <w:r>
              <w:rPr>
                <w:rFonts w:hint="eastAsia"/>
                <w:sz w:val="21"/>
                <w:szCs w:val="21"/>
              </w:rPr>
              <w:t>.1</w:t>
            </w:r>
          </w:p>
        </w:tc>
        <w:tc>
          <w:tcPr>
            <w:tcW w:w="1268" w:type="dxa"/>
            <w:tcBorders>
              <w:top w:val="single" w:color="auto" w:sz="4" w:space="0"/>
              <w:bottom w:val="single" w:color="auto" w:sz="4" w:space="0"/>
              <w:right w:val="single" w:color="auto" w:sz="4" w:space="0"/>
            </w:tcBorders>
            <w:vAlign w:val="center"/>
          </w:tcPr>
          <w:p>
            <w:pPr>
              <w:spacing w:line="400" w:lineRule="atLeast"/>
              <w:jc w:val="center"/>
              <w:rPr>
                <w:rFonts w:hAnsi="宋体"/>
                <w:sz w:val="21"/>
                <w:szCs w:val="21"/>
              </w:rPr>
            </w:pPr>
            <w:r>
              <w:rPr>
                <w:rFonts w:hAnsi="宋体"/>
                <w:sz w:val="21"/>
                <w:szCs w:val="21"/>
              </w:rPr>
              <w:t>分值构成</w:t>
            </w:r>
          </w:p>
          <w:p>
            <w:pPr>
              <w:spacing w:line="400" w:lineRule="atLeast"/>
              <w:ind w:left="-150" w:leftChars="-44" w:right="-177" w:rightChars="-52"/>
              <w:jc w:val="center"/>
              <w:rPr>
                <w:rFonts w:hAnsi="宋体"/>
                <w:sz w:val="21"/>
                <w:szCs w:val="21"/>
              </w:rPr>
            </w:pPr>
            <w:r>
              <w:rPr>
                <w:rFonts w:hint="eastAsia" w:hAnsi="宋体"/>
                <w:sz w:val="21"/>
                <w:szCs w:val="21"/>
              </w:rPr>
              <w:t>(</w:t>
            </w:r>
            <w:r>
              <w:rPr>
                <w:rFonts w:hAnsi="宋体"/>
                <w:sz w:val="21"/>
                <w:szCs w:val="21"/>
              </w:rPr>
              <w:t>总分100分</w:t>
            </w:r>
            <w:r>
              <w:rPr>
                <w:rFonts w:hint="eastAsia" w:hAnsi="宋体"/>
                <w:sz w:val="21"/>
                <w:szCs w:val="21"/>
              </w:rPr>
              <w:t>)</w:t>
            </w:r>
          </w:p>
        </w:tc>
        <w:tc>
          <w:tcPr>
            <w:tcW w:w="7021" w:type="dxa"/>
            <w:tcBorders>
              <w:top w:val="single" w:color="auto" w:sz="4" w:space="0"/>
              <w:left w:val="single" w:color="auto" w:sz="4" w:space="0"/>
              <w:bottom w:val="single" w:color="auto" w:sz="4" w:space="0"/>
              <w:right w:val="single" w:color="auto" w:sz="4" w:space="0"/>
            </w:tcBorders>
            <w:vAlign w:val="center"/>
          </w:tcPr>
          <w:p>
            <w:pPr>
              <w:spacing w:line="320" w:lineRule="exact"/>
              <w:rPr>
                <w:rFonts w:hAnsi="宋体"/>
                <w:sz w:val="21"/>
                <w:szCs w:val="21"/>
              </w:rPr>
            </w:pPr>
            <w:r>
              <w:rPr>
                <w:rFonts w:hint="eastAsia" w:hAnsi="宋体"/>
                <w:sz w:val="21"/>
                <w:szCs w:val="21"/>
              </w:rPr>
              <w:t>商务及技术满分:</w:t>
            </w:r>
            <w:r>
              <w:rPr>
                <w:rFonts w:hAnsi="宋体"/>
                <w:sz w:val="21"/>
                <w:szCs w:val="21"/>
              </w:rPr>
              <w:t>5</w:t>
            </w:r>
            <w:r>
              <w:rPr>
                <w:rFonts w:hint="eastAsia" w:hAnsi="宋体"/>
                <w:sz w:val="21"/>
                <w:szCs w:val="21"/>
              </w:rPr>
              <w:t>0分</w:t>
            </w:r>
          </w:p>
          <w:p>
            <w:pPr>
              <w:spacing w:line="320" w:lineRule="exact"/>
              <w:rPr>
                <w:rFonts w:hAnsi="宋体"/>
                <w:sz w:val="21"/>
                <w:szCs w:val="21"/>
              </w:rPr>
            </w:pPr>
            <w:r>
              <w:rPr>
                <w:rFonts w:hint="eastAsia" w:hAnsi="宋体"/>
                <w:sz w:val="21"/>
                <w:szCs w:val="21"/>
              </w:rPr>
              <w:t>评标价满分：</w:t>
            </w:r>
            <w:r>
              <w:rPr>
                <w:rFonts w:hAnsi="宋体"/>
                <w:sz w:val="21"/>
                <w:szCs w:val="21"/>
              </w:rPr>
              <w:t>5</w:t>
            </w:r>
            <w:r>
              <w:rPr>
                <w:rFonts w:hint="eastAsia" w:hAnsi="宋体"/>
                <w:sz w:val="21"/>
                <w:szCs w:val="21"/>
              </w:rPr>
              <w:t>0分</w:t>
            </w:r>
          </w:p>
          <w:p>
            <w:pPr>
              <w:spacing w:line="320" w:lineRule="exact"/>
              <w:rPr>
                <w:rFonts w:hAnsi="宋体"/>
                <w:sz w:val="21"/>
                <w:szCs w:val="21"/>
                <w:u w:val="single"/>
              </w:rPr>
            </w:pPr>
            <w:r>
              <w:rPr>
                <w:rFonts w:hint="eastAsia" w:hAnsi="宋体"/>
                <w:sz w:val="21"/>
                <w:szCs w:val="21"/>
              </w:rPr>
              <w:t>具体分值构成详见2.2.4条。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710" w:hRule="atLeast"/>
          <w:jc w:val="center"/>
        </w:trPr>
        <w:tc>
          <w:tcPr>
            <w:tcW w:w="981" w:type="dxa"/>
            <w:tcBorders>
              <w:top w:val="single" w:color="auto" w:sz="4" w:space="0"/>
              <w:bottom w:val="single" w:color="auto" w:sz="4" w:space="0"/>
              <w:right w:val="single" w:color="auto" w:sz="4" w:space="0"/>
            </w:tcBorders>
            <w:vAlign w:val="center"/>
          </w:tcPr>
          <w:p>
            <w:pPr>
              <w:spacing w:line="400" w:lineRule="atLeast"/>
              <w:jc w:val="center"/>
              <w:rPr>
                <w:sz w:val="21"/>
                <w:szCs w:val="21"/>
              </w:rPr>
            </w:pPr>
            <w:r>
              <w:rPr>
                <w:rFonts w:hint="eastAsia"/>
                <w:sz w:val="21"/>
                <w:szCs w:val="21"/>
              </w:rPr>
              <w:t>2.2.2</w:t>
            </w:r>
          </w:p>
        </w:tc>
        <w:tc>
          <w:tcPr>
            <w:tcW w:w="1268" w:type="dxa"/>
            <w:tcBorders>
              <w:top w:val="single" w:color="auto" w:sz="4" w:space="0"/>
              <w:bottom w:val="single" w:color="auto" w:sz="4" w:space="0"/>
              <w:right w:val="single" w:color="auto" w:sz="4" w:space="0"/>
            </w:tcBorders>
            <w:vAlign w:val="center"/>
          </w:tcPr>
          <w:p>
            <w:pPr>
              <w:spacing w:line="400" w:lineRule="atLeast"/>
              <w:jc w:val="center"/>
              <w:rPr>
                <w:rFonts w:hAnsi="宋体"/>
                <w:sz w:val="21"/>
                <w:szCs w:val="21"/>
              </w:rPr>
            </w:pPr>
            <w:r>
              <w:rPr>
                <w:rFonts w:hint="eastAsia" w:hAnsi="宋体"/>
                <w:sz w:val="21"/>
                <w:szCs w:val="21"/>
              </w:rPr>
              <w:t>评标基准价计算方法</w:t>
            </w:r>
          </w:p>
        </w:tc>
        <w:tc>
          <w:tcPr>
            <w:tcW w:w="7021" w:type="dxa"/>
            <w:tcBorders>
              <w:top w:val="single" w:color="auto" w:sz="4" w:space="0"/>
              <w:left w:val="single" w:color="auto" w:sz="4" w:space="0"/>
              <w:bottom w:val="single" w:color="auto" w:sz="4" w:space="0"/>
              <w:right w:val="single" w:color="auto" w:sz="4" w:space="0"/>
            </w:tcBorders>
            <w:vAlign w:val="center"/>
          </w:tcPr>
          <w:p>
            <w:pPr>
              <w:rPr>
                <w:sz w:val="21"/>
                <w:szCs w:val="21"/>
              </w:rPr>
            </w:pPr>
            <w:r>
              <w:rPr>
                <w:rFonts w:hint="eastAsia"/>
                <w:sz w:val="21"/>
                <w:szCs w:val="21"/>
              </w:rPr>
              <w:t>评标基准价的计算：</w:t>
            </w:r>
          </w:p>
          <w:p>
            <w:pPr>
              <w:rPr>
                <w:sz w:val="21"/>
                <w:szCs w:val="21"/>
              </w:rPr>
            </w:pPr>
            <w:r>
              <w:rPr>
                <w:rFonts w:hint="eastAsia"/>
                <w:sz w:val="21"/>
                <w:szCs w:val="21"/>
              </w:rPr>
              <w:t>(1)评标价的确定：</w:t>
            </w:r>
          </w:p>
          <w:p>
            <w:pPr>
              <w:rPr>
                <w:sz w:val="21"/>
                <w:szCs w:val="21"/>
              </w:rPr>
            </w:pPr>
            <w:r>
              <w:rPr>
                <w:rFonts w:hint="eastAsia"/>
                <w:sz w:val="21"/>
                <w:szCs w:val="21"/>
              </w:rPr>
              <w:t>评标价Di＝投标函文字报价</w:t>
            </w:r>
          </w:p>
          <w:p>
            <w:pPr>
              <w:rPr>
                <w:sz w:val="21"/>
                <w:szCs w:val="21"/>
              </w:rPr>
            </w:pPr>
            <w:r>
              <w:rPr>
                <w:rFonts w:hint="eastAsia"/>
                <w:sz w:val="21"/>
                <w:szCs w:val="21"/>
              </w:rPr>
              <w:t>(2)评标基准价的确定：</w:t>
            </w:r>
          </w:p>
          <w:p>
            <w:pPr>
              <w:rPr>
                <w:sz w:val="21"/>
                <w:szCs w:val="21"/>
              </w:rPr>
            </w:pPr>
            <w:r>
              <w:rPr>
                <w:rFonts w:hint="eastAsia"/>
                <w:sz w:val="21"/>
                <w:szCs w:val="21"/>
              </w:rPr>
              <w:t>经初步评审通过后，所有有效投标人评标价算术平均值作为评标基准价D。</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90" w:hRule="atLeast"/>
          <w:jc w:val="center"/>
        </w:trPr>
        <w:tc>
          <w:tcPr>
            <w:tcW w:w="981" w:type="dxa"/>
            <w:tcBorders>
              <w:top w:val="single" w:color="auto" w:sz="4" w:space="0"/>
              <w:right w:val="single" w:color="auto" w:sz="4" w:space="0"/>
            </w:tcBorders>
            <w:vAlign w:val="center"/>
          </w:tcPr>
          <w:p>
            <w:pPr>
              <w:rPr>
                <w:sz w:val="21"/>
                <w:szCs w:val="21"/>
              </w:rPr>
            </w:pPr>
            <w:r>
              <w:rPr>
                <w:rFonts w:hint="eastAsia"/>
                <w:sz w:val="21"/>
                <w:szCs w:val="21"/>
              </w:rPr>
              <w:t>2.2.3</w:t>
            </w:r>
          </w:p>
        </w:tc>
        <w:tc>
          <w:tcPr>
            <w:tcW w:w="1268" w:type="dxa"/>
            <w:tcBorders>
              <w:top w:val="single" w:color="auto" w:sz="4" w:space="0"/>
              <w:right w:val="single" w:color="auto" w:sz="4" w:space="0"/>
            </w:tcBorders>
            <w:vAlign w:val="center"/>
          </w:tcPr>
          <w:p>
            <w:pPr>
              <w:rPr>
                <w:sz w:val="21"/>
                <w:szCs w:val="21"/>
              </w:rPr>
            </w:pPr>
            <w:r>
              <w:rPr>
                <w:rFonts w:hint="eastAsia"/>
                <w:sz w:val="21"/>
                <w:szCs w:val="21"/>
              </w:rPr>
              <w:t>评标价的偏差率计算公式</w:t>
            </w:r>
          </w:p>
        </w:tc>
        <w:tc>
          <w:tcPr>
            <w:tcW w:w="7021" w:type="dxa"/>
            <w:tcBorders>
              <w:top w:val="single" w:color="auto" w:sz="4" w:space="0"/>
              <w:left w:val="single" w:color="auto" w:sz="4" w:space="0"/>
              <w:right w:val="single" w:color="auto" w:sz="4" w:space="0"/>
            </w:tcBorders>
            <w:vAlign w:val="center"/>
          </w:tcPr>
          <w:p>
            <w:pPr>
              <w:rPr>
                <w:sz w:val="21"/>
                <w:szCs w:val="21"/>
              </w:rPr>
            </w:pPr>
            <w:r>
              <w:rPr>
                <w:rFonts w:hint="eastAsia"/>
                <w:sz w:val="21"/>
                <w:szCs w:val="21"/>
              </w:rPr>
              <w:t>偏差率=100% ×(投标人评标价－评标基准价)/评标基准价</w:t>
            </w:r>
          </w:p>
        </w:tc>
      </w:tr>
    </w:tbl>
    <w:p>
      <w:pPr>
        <w:snapToGrid w:val="0"/>
        <w:spacing w:line="360" w:lineRule="auto"/>
        <w:ind w:right="-10" w:firstLine="422" w:firstLineChars="175"/>
        <w:rPr>
          <w:rFonts w:hAnsi="宋体"/>
          <w:b/>
          <w:bCs/>
          <w:sz w:val="24"/>
        </w:rPr>
      </w:pPr>
    </w:p>
    <w:p>
      <w:pPr>
        <w:rPr>
          <w:sz w:val="24"/>
        </w:rPr>
        <w:sectPr>
          <w:headerReference r:id="rId3" w:type="default"/>
          <w:footerReference r:id="rId4" w:type="default"/>
          <w:footnotePr>
            <w:numFmt w:val="decimalEnclosedCircleChinese"/>
            <w:numRestart w:val="eachPage"/>
          </w:footnotePr>
          <w:pgSz w:w="11906" w:h="16838"/>
          <w:pgMar w:top="1418" w:right="1304" w:bottom="1418" w:left="1588" w:header="851" w:footer="851" w:gutter="0"/>
          <w:cols w:space="720" w:num="1"/>
          <w:docGrid w:type="lines" w:linePitch="312" w:charSpace="0"/>
        </w:sectPr>
      </w:pPr>
    </w:p>
    <w:tbl>
      <w:tblPr>
        <w:tblStyle w:val="6"/>
        <w:tblW w:w="139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6"/>
        <w:gridCol w:w="744"/>
        <w:gridCol w:w="962"/>
        <w:gridCol w:w="962"/>
        <w:gridCol w:w="529"/>
        <w:gridCol w:w="9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tblHeader/>
        </w:trPr>
        <w:tc>
          <w:tcPr>
            <w:tcW w:w="1176" w:type="dxa"/>
            <w:vAlign w:val="center"/>
          </w:tcPr>
          <w:p>
            <w:pPr>
              <w:jc w:val="center"/>
              <w:rPr>
                <w:b/>
                <w:sz w:val="24"/>
              </w:rPr>
            </w:pPr>
            <w:r>
              <w:rPr>
                <w:rFonts w:hint="eastAsia"/>
                <w:b/>
                <w:sz w:val="24"/>
              </w:rPr>
              <w:t>条款号</w:t>
            </w:r>
          </w:p>
        </w:tc>
        <w:tc>
          <w:tcPr>
            <w:tcW w:w="744" w:type="dxa"/>
            <w:vAlign w:val="center"/>
          </w:tcPr>
          <w:p>
            <w:pPr>
              <w:jc w:val="center"/>
              <w:rPr>
                <w:b/>
                <w:sz w:val="24"/>
              </w:rPr>
            </w:pPr>
            <w:r>
              <w:rPr>
                <w:rFonts w:hint="eastAsia"/>
                <w:b/>
                <w:sz w:val="24"/>
              </w:rPr>
              <w:t>评分因素</w:t>
            </w:r>
          </w:p>
        </w:tc>
        <w:tc>
          <w:tcPr>
            <w:tcW w:w="962" w:type="dxa"/>
            <w:vAlign w:val="center"/>
          </w:tcPr>
          <w:p>
            <w:pPr>
              <w:jc w:val="center"/>
              <w:rPr>
                <w:b/>
                <w:sz w:val="24"/>
              </w:rPr>
            </w:pPr>
            <w:r>
              <w:rPr>
                <w:rFonts w:hint="eastAsia"/>
                <w:b/>
                <w:sz w:val="24"/>
              </w:rPr>
              <w:t>评分因素权重分值</w:t>
            </w:r>
          </w:p>
        </w:tc>
        <w:tc>
          <w:tcPr>
            <w:tcW w:w="962" w:type="dxa"/>
            <w:vAlign w:val="center"/>
          </w:tcPr>
          <w:p>
            <w:pPr>
              <w:jc w:val="center"/>
              <w:rPr>
                <w:b/>
                <w:sz w:val="24"/>
              </w:rPr>
            </w:pPr>
            <w:r>
              <w:rPr>
                <w:rFonts w:hint="eastAsia"/>
                <w:b/>
                <w:sz w:val="24"/>
              </w:rPr>
              <w:t>各评分因素细分项</w:t>
            </w:r>
          </w:p>
        </w:tc>
        <w:tc>
          <w:tcPr>
            <w:tcW w:w="529" w:type="dxa"/>
            <w:vAlign w:val="center"/>
          </w:tcPr>
          <w:p>
            <w:pPr>
              <w:jc w:val="center"/>
              <w:rPr>
                <w:b/>
                <w:sz w:val="24"/>
              </w:rPr>
            </w:pPr>
            <w:r>
              <w:rPr>
                <w:rFonts w:hint="eastAsia"/>
                <w:b/>
                <w:sz w:val="24"/>
              </w:rPr>
              <w:t>分值</w:t>
            </w:r>
          </w:p>
        </w:tc>
        <w:tc>
          <w:tcPr>
            <w:tcW w:w="9598" w:type="dxa"/>
            <w:vAlign w:val="center"/>
          </w:tcPr>
          <w:p>
            <w:pPr>
              <w:jc w:val="center"/>
              <w:rPr>
                <w:b/>
                <w:sz w:val="24"/>
              </w:rPr>
            </w:pPr>
            <w:r>
              <w:rPr>
                <w:rFonts w:hint="eastAsia"/>
                <w:b/>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trPr>
        <w:tc>
          <w:tcPr>
            <w:tcW w:w="1176" w:type="dxa"/>
            <w:vMerge w:val="restart"/>
            <w:vAlign w:val="center"/>
          </w:tcPr>
          <w:p>
            <w:pPr>
              <w:rPr>
                <w:sz w:val="24"/>
              </w:rPr>
            </w:pPr>
            <w:r>
              <w:rPr>
                <w:rFonts w:hint="eastAsia"/>
                <w:sz w:val="24"/>
              </w:rPr>
              <w:t>2.2.4(1)</w:t>
            </w:r>
          </w:p>
        </w:tc>
        <w:tc>
          <w:tcPr>
            <w:tcW w:w="744" w:type="dxa"/>
            <w:vMerge w:val="restart"/>
            <w:vAlign w:val="center"/>
          </w:tcPr>
          <w:p>
            <w:pPr>
              <w:rPr>
                <w:sz w:val="24"/>
              </w:rPr>
            </w:pPr>
            <w:r>
              <w:rPr>
                <w:rFonts w:hint="eastAsia"/>
                <w:sz w:val="24"/>
              </w:rPr>
              <w:t>商务及技术</w:t>
            </w:r>
          </w:p>
        </w:tc>
        <w:tc>
          <w:tcPr>
            <w:tcW w:w="962" w:type="dxa"/>
            <w:vMerge w:val="restart"/>
            <w:vAlign w:val="center"/>
          </w:tcPr>
          <w:p>
            <w:pPr>
              <w:rPr>
                <w:sz w:val="24"/>
              </w:rPr>
            </w:pPr>
            <w:r>
              <w:rPr>
                <w:rFonts w:hint="eastAsia"/>
                <w:sz w:val="24"/>
              </w:rPr>
              <w:t>50分</w:t>
            </w:r>
          </w:p>
        </w:tc>
        <w:tc>
          <w:tcPr>
            <w:tcW w:w="962" w:type="dxa"/>
            <w:vAlign w:val="center"/>
          </w:tcPr>
          <w:p>
            <w:pPr>
              <w:rPr>
                <w:sz w:val="24"/>
              </w:rPr>
            </w:pPr>
            <w:r>
              <w:rPr>
                <w:rFonts w:hint="eastAsia" w:hAnsi="宋体" w:cs="宋体"/>
                <w:b/>
                <w:sz w:val="20"/>
                <w:szCs w:val="21"/>
              </w:rPr>
              <w:t>业绩案例</w:t>
            </w:r>
          </w:p>
        </w:tc>
        <w:tc>
          <w:tcPr>
            <w:tcW w:w="529" w:type="dxa"/>
            <w:vAlign w:val="center"/>
          </w:tcPr>
          <w:p>
            <w:pPr>
              <w:rPr>
                <w:sz w:val="24"/>
              </w:rPr>
            </w:pPr>
            <w:r>
              <w:rPr>
                <w:rFonts w:hint="eastAsia"/>
                <w:sz w:val="24"/>
              </w:rPr>
              <w:t>15分</w:t>
            </w:r>
          </w:p>
        </w:tc>
        <w:tc>
          <w:tcPr>
            <w:tcW w:w="9598" w:type="dxa"/>
            <w:vAlign w:val="center"/>
          </w:tcPr>
          <w:p>
            <w:pPr>
              <w:ind w:left="108" w:leftChars="32"/>
              <w:rPr>
                <w:sz w:val="23"/>
                <w:szCs w:val="23"/>
              </w:rPr>
            </w:pPr>
            <w:r>
              <w:rPr>
                <w:rFonts w:hint="eastAsia" w:hAnsi="宋体" w:cs="宋体"/>
                <w:sz w:val="20"/>
                <w:szCs w:val="21"/>
              </w:rPr>
              <w:t>投标人具备近三年融资租赁</w:t>
            </w:r>
            <w:r>
              <w:rPr>
                <w:rFonts w:hAnsi="宋体" w:cs="宋体"/>
                <w:sz w:val="20"/>
                <w:szCs w:val="21"/>
              </w:rPr>
              <w:t>类信息化项目成功案例，</w:t>
            </w:r>
            <w:r>
              <w:rPr>
                <w:rFonts w:hint="eastAsia" w:hAnsi="宋体" w:cs="宋体"/>
                <w:sz w:val="20"/>
                <w:szCs w:val="21"/>
              </w:rPr>
              <w:t>满足最低资格审查要求的得9分，除此之外，融资租赁类项目</w:t>
            </w:r>
            <w:r>
              <w:rPr>
                <w:rFonts w:hAnsi="宋体" w:cs="宋体"/>
                <w:sz w:val="20"/>
                <w:szCs w:val="21"/>
              </w:rPr>
              <w:t>100</w:t>
            </w:r>
            <w:r>
              <w:rPr>
                <w:rFonts w:hint="eastAsia" w:hAnsi="宋体" w:cs="宋体"/>
                <w:sz w:val="20"/>
                <w:szCs w:val="21"/>
              </w:rPr>
              <w:t>万及以上合同额的，每个案例加</w:t>
            </w:r>
            <w:r>
              <w:rPr>
                <w:rFonts w:hAnsi="宋体" w:cs="宋体"/>
                <w:sz w:val="20"/>
                <w:szCs w:val="21"/>
              </w:rPr>
              <w:t>1</w:t>
            </w:r>
            <w:r>
              <w:rPr>
                <w:rFonts w:hint="eastAsia" w:hAnsi="宋体" w:cs="宋体"/>
                <w:sz w:val="20"/>
                <w:szCs w:val="21"/>
              </w:rPr>
              <w:t>分，满分</w:t>
            </w:r>
            <w:r>
              <w:rPr>
                <w:rFonts w:hAnsi="宋体" w:cs="宋体"/>
                <w:sz w:val="20"/>
                <w:szCs w:val="21"/>
              </w:rPr>
              <w:t>15</w:t>
            </w:r>
            <w:r>
              <w:rPr>
                <w:rFonts w:hint="eastAsia" w:hAnsi="宋体" w:cs="宋体"/>
                <w:sz w:val="20"/>
                <w:szCs w:val="21"/>
              </w:rPr>
              <w:t>分。（须附项目合同和验收报告复印件，加盖公章，未提供不加分。）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2" w:hRule="atLeast"/>
        </w:trPr>
        <w:tc>
          <w:tcPr>
            <w:tcW w:w="1176" w:type="dxa"/>
            <w:vMerge w:val="continue"/>
            <w:vAlign w:val="center"/>
          </w:tcPr>
          <w:p>
            <w:pPr>
              <w:rPr>
                <w:sz w:val="24"/>
              </w:rPr>
            </w:pPr>
          </w:p>
        </w:tc>
        <w:tc>
          <w:tcPr>
            <w:tcW w:w="744" w:type="dxa"/>
            <w:vMerge w:val="continue"/>
            <w:vAlign w:val="center"/>
          </w:tcPr>
          <w:p>
            <w:pPr>
              <w:rPr>
                <w:sz w:val="24"/>
              </w:rPr>
            </w:pPr>
          </w:p>
        </w:tc>
        <w:tc>
          <w:tcPr>
            <w:tcW w:w="962" w:type="dxa"/>
            <w:vMerge w:val="continue"/>
            <w:vAlign w:val="center"/>
          </w:tcPr>
          <w:p>
            <w:pPr>
              <w:rPr>
                <w:sz w:val="24"/>
              </w:rPr>
            </w:pPr>
          </w:p>
        </w:tc>
        <w:tc>
          <w:tcPr>
            <w:tcW w:w="962" w:type="dxa"/>
            <w:vAlign w:val="center"/>
          </w:tcPr>
          <w:p>
            <w:pPr>
              <w:rPr>
                <w:sz w:val="24"/>
              </w:rPr>
            </w:pPr>
            <w:r>
              <w:rPr>
                <w:rFonts w:hint="eastAsia" w:hAnsi="宋体" w:cs="宋体"/>
                <w:b/>
                <w:sz w:val="20"/>
                <w:szCs w:val="21"/>
              </w:rPr>
              <w:t>公司资质</w:t>
            </w:r>
          </w:p>
        </w:tc>
        <w:tc>
          <w:tcPr>
            <w:tcW w:w="529" w:type="dxa"/>
            <w:vAlign w:val="center"/>
          </w:tcPr>
          <w:p>
            <w:pPr>
              <w:rPr>
                <w:sz w:val="24"/>
              </w:rPr>
            </w:pPr>
            <w:r>
              <w:rPr>
                <w:rFonts w:hint="eastAsia"/>
                <w:sz w:val="24"/>
              </w:rPr>
              <w:t>1</w:t>
            </w:r>
            <w:r>
              <w:rPr>
                <w:sz w:val="24"/>
              </w:rPr>
              <w:t>0</w:t>
            </w:r>
            <w:r>
              <w:rPr>
                <w:rFonts w:hint="eastAsia"/>
                <w:sz w:val="24"/>
              </w:rPr>
              <w:t>分</w:t>
            </w:r>
          </w:p>
        </w:tc>
        <w:tc>
          <w:tcPr>
            <w:tcW w:w="9598" w:type="dxa"/>
            <w:vAlign w:val="center"/>
          </w:tcPr>
          <w:p>
            <w:pPr>
              <w:ind w:left="108" w:leftChars="32"/>
              <w:rPr>
                <w:sz w:val="24"/>
              </w:rPr>
            </w:pPr>
            <w:r>
              <w:rPr>
                <w:rFonts w:hint="eastAsia" w:hAnsi="宋体" w:cs="宋体"/>
                <w:sz w:val="20"/>
                <w:szCs w:val="21"/>
              </w:rPr>
              <w:t>满足最低资格审查要求的得</w:t>
            </w:r>
            <w:r>
              <w:rPr>
                <w:rFonts w:hAnsi="宋体" w:cs="宋体"/>
                <w:sz w:val="20"/>
                <w:szCs w:val="21"/>
              </w:rPr>
              <w:t>6</w:t>
            </w:r>
            <w:r>
              <w:rPr>
                <w:rFonts w:hint="eastAsia" w:hAnsi="宋体" w:cs="宋体"/>
                <w:sz w:val="20"/>
                <w:szCs w:val="21"/>
              </w:rPr>
              <w:t>分，除此之外，投标人通过ISO27001体系认证的加</w:t>
            </w:r>
            <w:r>
              <w:rPr>
                <w:rFonts w:hAnsi="宋体" w:cs="宋体"/>
                <w:sz w:val="20"/>
                <w:szCs w:val="21"/>
              </w:rPr>
              <w:t>1</w:t>
            </w:r>
            <w:r>
              <w:rPr>
                <w:rFonts w:hint="eastAsia" w:hAnsi="宋体" w:cs="宋体"/>
                <w:sz w:val="20"/>
                <w:szCs w:val="21"/>
              </w:rPr>
              <w:t>分，投标人通过计算机信息系统集成二级及以上资质认证的加</w:t>
            </w:r>
            <w:r>
              <w:rPr>
                <w:rFonts w:hAnsi="宋体" w:cs="宋体"/>
                <w:sz w:val="20"/>
                <w:szCs w:val="21"/>
              </w:rPr>
              <w:t>1</w:t>
            </w:r>
            <w:r>
              <w:rPr>
                <w:rFonts w:hint="eastAsia" w:hAnsi="宋体" w:cs="宋体"/>
                <w:sz w:val="20"/>
                <w:szCs w:val="21"/>
              </w:rPr>
              <w:t>分，投标人通过CMMI</w:t>
            </w:r>
            <w:r>
              <w:rPr>
                <w:rFonts w:hAnsi="宋体" w:cs="宋体"/>
                <w:sz w:val="20"/>
                <w:szCs w:val="21"/>
              </w:rPr>
              <w:t>3级及以上认证的加</w:t>
            </w:r>
            <w:r>
              <w:rPr>
                <w:rFonts w:hint="eastAsia" w:hAnsi="宋体" w:cs="宋体"/>
                <w:sz w:val="20"/>
                <w:szCs w:val="21"/>
              </w:rPr>
              <w:t>1分，投标人拥有融资租赁类软件著作权的加1分。（提供证书或证明材料复印件，加盖公章，不提供不得分。）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0" w:hRule="atLeast"/>
        </w:trPr>
        <w:tc>
          <w:tcPr>
            <w:tcW w:w="1176" w:type="dxa"/>
            <w:vMerge w:val="continue"/>
            <w:vAlign w:val="center"/>
          </w:tcPr>
          <w:p>
            <w:pPr>
              <w:rPr>
                <w:sz w:val="24"/>
              </w:rPr>
            </w:pPr>
          </w:p>
        </w:tc>
        <w:tc>
          <w:tcPr>
            <w:tcW w:w="744" w:type="dxa"/>
            <w:vMerge w:val="continue"/>
            <w:vAlign w:val="center"/>
          </w:tcPr>
          <w:p>
            <w:pPr>
              <w:rPr>
                <w:sz w:val="24"/>
              </w:rPr>
            </w:pPr>
          </w:p>
        </w:tc>
        <w:tc>
          <w:tcPr>
            <w:tcW w:w="962" w:type="dxa"/>
            <w:vMerge w:val="continue"/>
            <w:vAlign w:val="center"/>
          </w:tcPr>
          <w:p>
            <w:pPr>
              <w:rPr>
                <w:sz w:val="24"/>
              </w:rPr>
            </w:pPr>
          </w:p>
        </w:tc>
        <w:tc>
          <w:tcPr>
            <w:tcW w:w="962" w:type="dxa"/>
            <w:vAlign w:val="center"/>
          </w:tcPr>
          <w:p>
            <w:pPr>
              <w:rPr>
                <w:sz w:val="24"/>
              </w:rPr>
            </w:pPr>
            <w:r>
              <w:rPr>
                <w:rFonts w:hint="eastAsia" w:hAnsi="宋体" w:cs="宋体"/>
                <w:b/>
                <w:sz w:val="20"/>
                <w:szCs w:val="21"/>
              </w:rPr>
              <w:t>本地化服务</w:t>
            </w:r>
          </w:p>
        </w:tc>
        <w:tc>
          <w:tcPr>
            <w:tcW w:w="529" w:type="dxa"/>
            <w:vAlign w:val="center"/>
          </w:tcPr>
          <w:p>
            <w:pPr>
              <w:rPr>
                <w:sz w:val="24"/>
              </w:rPr>
            </w:pPr>
            <w:r>
              <w:rPr>
                <w:rFonts w:hint="eastAsia"/>
                <w:sz w:val="24"/>
              </w:rPr>
              <w:t>3分</w:t>
            </w:r>
          </w:p>
        </w:tc>
        <w:tc>
          <w:tcPr>
            <w:tcW w:w="9598" w:type="dxa"/>
            <w:vAlign w:val="center"/>
          </w:tcPr>
          <w:p>
            <w:pPr>
              <w:pStyle w:val="7"/>
              <w:ind w:firstLine="0" w:firstLineChars="0"/>
            </w:pPr>
            <w:r>
              <w:rPr>
                <w:rFonts w:hint="eastAsia" w:ascii="宋体" w:hAnsi="宋体" w:cs="宋体"/>
                <w:sz w:val="20"/>
                <w:szCs w:val="21"/>
              </w:rPr>
              <w:t>投标人在本地注册成立加3分，本地具有固定场所或人员加2分</w:t>
            </w:r>
            <w:r>
              <w:rPr>
                <w:rFonts w:ascii="宋体" w:hAnsi="宋体" w:cs="宋体"/>
                <w:sz w:val="20"/>
                <w:szCs w:val="21"/>
              </w:rPr>
              <w:t>，承诺中标即</w:t>
            </w:r>
            <w:r>
              <w:rPr>
                <w:rFonts w:hint="eastAsia" w:ascii="宋体" w:hAnsi="宋体" w:cs="宋体"/>
                <w:sz w:val="20"/>
                <w:szCs w:val="21"/>
              </w:rPr>
              <w:t>设立本地化服务机构加1</w:t>
            </w:r>
            <w:r>
              <w:rPr>
                <w:rFonts w:ascii="宋体" w:hAnsi="宋体" w:cs="宋体"/>
                <w:sz w:val="20"/>
                <w:szCs w:val="21"/>
              </w:rPr>
              <w:t>分</w:t>
            </w:r>
            <w:r>
              <w:rPr>
                <w:rFonts w:hint="eastAsia" w:ascii="宋体" w:hAnsi="宋体" w:cs="宋体"/>
                <w:sz w:val="20"/>
                <w:szCs w:val="21"/>
              </w:rPr>
              <w:t>，本项满分为3分。（提供相应证明材料，未提供不得分，不累计加分。）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5" w:hRule="atLeast"/>
        </w:trPr>
        <w:tc>
          <w:tcPr>
            <w:tcW w:w="1176" w:type="dxa"/>
            <w:vMerge w:val="continue"/>
            <w:vAlign w:val="center"/>
          </w:tcPr>
          <w:p>
            <w:pPr>
              <w:rPr>
                <w:sz w:val="24"/>
              </w:rPr>
            </w:pPr>
          </w:p>
        </w:tc>
        <w:tc>
          <w:tcPr>
            <w:tcW w:w="744" w:type="dxa"/>
            <w:vMerge w:val="continue"/>
            <w:vAlign w:val="center"/>
          </w:tcPr>
          <w:p>
            <w:pPr>
              <w:rPr>
                <w:sz w:val="24"/>
              </w:rPr>
            </w:pPr>
          </w:p>
        </w:tc>
        <w:tc>
          <w:tcPr>
            <w:tcW w:w="962" w:type="dxa"/>
            <w:vMerge w:val="continue"/>
            <w:vAlign w:val="center"/>
          </w:tcPr>
          <w:p>
            <w:pPr>
              <w:rPr>
                <w:sz w:val="24"/>
              </w:rPr>
            </w:pPr>
          </w:p>
        </w:tc>
        <w:tc>
          <w:tcPr>
            <w:tcW w:w="962" w:type="dxa"/>
            <w:vAlign w:val="center"/>
          </w:tcPr>
          <w:p>
            <w:pPr>
              <w:rPr>
                <w:rFonts w:hAnsi="宋体" w:cs="宋体"/>
                <w:b/>
                <w:sz w:val="20"/>
                <w:szCs w:val="21"/>
              </w:rPr>
            </w:pPr>
            <w:r>
              <w:rPr>
                <w:rFonts w:hint="eastAsia" w:hAnsi="宋体" w:cs="宋体"/>
                <w:b/>
                <w:sz w:val="20"/>
                <w:szCs w:val="21"/>
              </w:rPr>
              <w:t>技术方案能力</w:t>
            </w:r>
          </w:p>
        </w:tc>
        <w:tc>
          <w:tcPr>
            <w:tcW w:w="529" w:type="dxa"/>
            <w:vAlign w:val="center"/>
          </w:tcPr>
          <w:p>
            <w:pPr>
              <w:rPr>
                <w:sz w:val="24"/>
              </w:rPr>
            </w:pPr>
            <w:r>
              <w:rPr>
                <w:rFonts w:hint="eastAsia"/>
                <w:sz w:val="24"/>
              </w:rPr>
              <w:t>15分</w:t>
            </w:r>
          </w:p>
        </w:tc>
        <w:tc>
          <w:tcPr>
            <w:tcW w:w="9598" w:type="dxa"/>
            <w:vAlign w:val="center"/>
          </w:tcPr>
          <w:p>
            <w:pPr>
              <w:ind w:left="108" w:leftChars="32"/>
              <w:rPr>
                <w:rFonts w:hAnsi="宋体" w:cs="宋体"/>
                <w:sz w:val="20"/>
                <w:szCs w:val="21"/>
              </w:rPr>
            </w:pPr>
            <w:r>
              <w:rPr>
                <w:rFonts w:hint="eastAsia" w:hAnsi="宋体" w:cs="宋体"/>
                <w:sz w:val="20"/>
                <w:szCs w:val="21"/>
              </w:rPr>
              <w:t>1、专家通过审阅标书，对投标技术方案的编制完整、格式规范、内容齐全、表述准确、条理清晰，内容无前后矛盾，完全符合招标文件技术要求打分。优良得4-5分；较好得3-4分；一般得</w:t>
            </w:r>
            <w:r>
              <w:rPr>
                <w:rFonts w:hAnsi="宋体" w:cs="宋体"/>
                <w:sz w:val="20"/>
                <w:szCs w:val="21"/>
              </w:rPr>
              <w:t>3</w:t>
            </w:r>
            <w:r>
              <w:rPr>
                <w:rFonts w:hint="eastAsia" w:hAnsi="宋体" w:cs="宋体"/>
                <w:sz w:val="20"/>
                <w:szCs w:val="21"/>
              </w:rPr>
              <w:t>分；</w:t>
            </w:r>
          </w:p>
          <w:p>
            <w:pPr>
              <w:ind w:left="108" w:leftChars="32"/>
              <w:rPr>
                <w:rFonts w:hAnsi="宋体" w:cs="宋体"/>
                <w:sz w:val="20"/>
                <w:szCs w:val="21"/>
              </w:rPr>
            </w:pPr>
            <w:r>
              <w:rPr>
                <w:rFonts w:hint="eastAsia" w:hAnsi="宋体" w:cs="宋体"/>
                <w:sz w:val="20"/>
                <w:szCs w:val="21"/>
              </w:rPr>
              <w:t>2、接口集成方案。根据投标技术方案提供的与已有关联系统的集成设计，从SDK、数据、页面和流程等各维度集成设计思路，以及各方案的通用性、数据共享程度、未来的可扩展性等方面进行综合评分，优良得4-5分；较好得3-4分；一般得</w:t>
            </w:r>
            <w:r>
              <w:rPr>
                <w:rFonts w:hAnsi="宋体" w:cs="宋体"/>
                <w:sz w:val="20"/>
                <w:szCs w:val="21"/>
              </w:rPr>
              <w:t>3</w:t>
            </w:r>
            <w:r>
              <w:rPr>
                <w:rFonts w:hint="eastAsia" w:hAnsi="宋体" w:cs="宋体"/>
                <w:sz w:val="20"/>
                <w:szCs w:val="21"/>
              </w:rPr>
              <w:t>分；</w:t>
            </w:r>
          </w:p>
          <w:p>
            <w:pPr>
              <w:ind w:left="108" w:leftChars="32"/>
              <w:rPr>
                <w:rFonts w:hAnsi="宋体" w:cs="宋体"/>
                <w:sz w:val="20"/>
                <w:szCs w:val="21"/>
              </w:rPr>
            </w:pPr>
            <w:r>
              <w:rPr>
                <w:rFonts w:hint="eastAsia" w:hAnsi="宋体" w:cs="宋体"/>
                <w:sz w:val="20"/>
                <w:szCs w:val="21"/>
              </w:rPr>
              <w:t>3、安全设计方案。根据投标技术方案提供的软硬件及网络安全设计方案，从网络、系统和数据等角度，对采用技术的先进性、方案的完备性、运维的自动化程度等方面进行综合评分，优良得4-5分；较好得3-4分；一般得</w:t>
            </w:r>
            <w:r>
              <w:rPr>
                <w:rFonts w:hAnsi="宋体" w:cs="宋体"/>
                <w:sz w:val="20"/>
                <w:szCs w:val="21"/>
              </w:rPr>
              <w:t>3</w:t>
            </w:r>
            <w:r>
              <w:rPr>
                <w:rFonts w:hint="eastAsia" w:hAnsi="宋体" w:cs="宋体"/>
                <w:sz w:val="2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9" w:hRule="atLeast"/>
        </w:trPr>
        <w:tc>
          <w:tcPr>
            <w:tcW w:w="1176" w:type="dxa"/>
            <w:vMerge w:val="continue"/>
            <w:vAlign w:val="center"/>
          </w:tcPr>
          <w:p>
            <w:pPr>
              <w:rPr>
                <w:sz w:val="24"/>
              </w:rPr>
            </w:pPr>
          </w:p>
        </w:tc>
        <w:tc>
          <w:tcPr>
            <w:tcW w:w="744" w:type="dxa"/>
            <w:vMerge w:val="continue"/>
            <w:vAlign w:val="center"/>
          </w:tcPr>
          <w:p>
            <w:pPr>
              <w:rPr>
                <w:sz w:val="24"/>
              </w:rPr>
            </w:pPr>
          </w:p>
        </w:tc>
        <w:tc>
          <w:tcPr>
            <w:tcW w:w="962" w:type="dxa"/>
            <w:vMerge w:val="continue"/>
            <w:vAlign w:val="center"/>
          </w:tcPr>
          <w:p>
            <w:pPr>
              <w:rPr>
                <w:sz w:val="24"/>
              </w:rPr>
            </w:pPr>
          </w:p>
        </w:tc>
        <w:tc>
          <w:tcPr>
            <w:tcW w:w="962" w:type="dxa"/>
            <w:vAlign w:val="center"/>
          </w:tcPr>
          <w:p>
            <w:pPr>
              <w:rPr>
                <w:rFonts w:hAnsi="宋体" w:cs="宋体"/>
                <w:b/>
                <w:sz w:val="20"/>
                <w:szCs w:val="21"/>
              </w:rPr>
            </w:pPr>
            <w:r>
              <w:rPr>
                <w:rFonts w:hint="eastAsia" w:hAnsi="宋体" w:cs="宋体"/>
                <w:b/>
                <w:sz w:val="20"/>
                <w:szCs w:val="21"/>
              </w:rPr>
              <w:t>综合服务能力</w:t>
            </w:r>
          </w:p>
        </w:tc>
        <w:tc>
          <w:tcPr>
            <w:tcW w:w="529" w:type="dxa"/>
            <w:vAlign w:val="center"/>
          </w:tcPr>
          <w:p>
            <w:pPr>
              <w:rPr>
                <w:sz w:val="24"/>
              </w:rPr>
            </w:pPr>
            <w:r>
              <w:rPr>
                <w:sz w:val="24"/>
              </w:rPr>
              <w:t>7</w:t>
            </w:r>
            <w:r>
              <w:rPr>
                <w:rFonts w:hint="eastAsia"/>
                <w:sz w:val="24"/>
              </w:rPr>
              <w:t>分</w:t>
            </w:r>
          </w:p>
        </w:tc>
        <w:tc>
          <w:tcPr>
            <w:tcW w:w="9598" w:type="dxa"/>
            <w:vAlign w:val="center"/>
          </w:tcPr>
          <w:p>
            <w:pPr>
              <w:ind w:left="108" w:leftChars="32"/>
              <w:rPr>
                <w:rFonts w:hAnsi="宋体" w:cs="宋体"/>
                <w:sz w:val="20"/>
                <w:szCs w:val="21"/>
              </w:rPr>
            </w:pPr>
            <w:r>
              <w:rPr>
                <w:rFonts w:hint="eastAsia" w:hAnsi="宋体" w:cs="宋体"/>
                <w:sz w:val="20"/>
                <w:szCs w:val="21"/>
              </w:rPr>
              <w:t>投标人在为本次项目配置的实施和售后服务团队人员中，提供以下分类证明材料获得相应加分，同分类证明材料不重复加分，满分为</w:t>
            </w:r>
            <w:r>
              <w:rPr>
                <w:rFonts w:hAnsi="宋体" w:cs="宋体"/>
                <w:sz w:val="20"/>
                <w:szCs w:val="21"/>
              </w:rPr>
              <w:t xml:space="preserve"> 7 </w:t>
            </w:r>
            <w:r>
              <w:rPr>
                <w:rFonts w:hint="eastAsia" w:hAnsi="宋体" w:cs="宋体"/>
                <w:sz w:val="20"/>
                <w:szCs w:val="21"/>
              </w:rPr>
              <w:t>分。拥有证书的人员还须提供社保机构出具的社保缴纳证明（缴费截止时间应在投标截止日期前3个月以内，连续缴费期不低于6个月，加盖社保机构章或带二维码的网上打印件），所有证明材料加盖公章，未提供不得分。</w:t>
            </w:r>
          </w:p>
          <w:p>
            <w:pPr>
              <w:pStyle w:val="8"/>
              <w:ind w:firstLine="0" w:firstLineChars="0"/>
              <w:rPr>
                <w:rFonts w:ascii="宋体" w:hAnsi="宋体" w:cs="宋体"/>
                <w:sz w:val="20"/>
                <w:szCs w:val="21"/>
              </w:rPr>
            </w:pPr>
            <w:r>
              <w:rPr>
                <w:rFonts w:ascii="宋体" w:hAnsi="宋体" w:cs="宋体"/>
                <w:sz w:val="20"/>
                <w:szCs w:val="21"/>
              </w:rPr>
              <w:t>1、计算机</w:t>
            </w:r>
            <w:r>
              <w:rPr>
                <w:rFonts w:hint="eastAsia" w:ascii="宋体" w:hAnsi="宋体" w:cs="宋体"/>
                <w:sz w:val="20"/>
                <w:szCs w:val="21"/>
              </w:rPr>
              <w:t>信息系统集成高级项目经理加2分；</w:t>
            </w:r>
          </w:p>
          <w:p>
            <w:pPr>
              <w:pStyle w:val="8"/>
              <w:ind w:firstLine="0" w:firstLineChars="0"/>
              <w:rPr>
                <w:rFonts w:ascii="宋体" w:hAnsi="宋体" w:cs="宋体"/>
                <w:sz w:val="20"/>
                <w:szCs w:val="21"/>
              </w:rPr>
            </w:pPr>
            <w:r>
              <w:rPr>
                <w:rFonts w:ascii="宋体" w:hAnsi="宋体" w:cs="宋体"/>
                <w:sz w:val="20"/>
                <w:szCs w:val="21"/>
              </w:rPr>
              <w:t>2、SUN JAVA认证</w:t>
            </w:r>
            <w:r>
              <w:rPr>
                <w:rFonts w:hint="eastAsia" w:ascii="宋体" w:hAnsi="宋体" w:cs="宋体"/>
                <w:sz w:val="20"/>
                <w:szCs w:val="21"/>
              </w:rPr>
              <w:t>，包括SCJP，SCJD，SCWCD，SCMAD，SCWSD，SCEA，只要有任意一项的，加2分；</w:t>
            </w:r>
          </w:p>
          <w:p>
            <w:pPr>
              <w:pStyle w:val="8"/>
              <w:ind w:firstLine="0" w:firstLineChars="0"/>
              <w:rPr>
                <w:rFonts w:ascii="宋体" w:hAnsi="宋体" w:cs="宋体"/>
                <w:sz w:val="20"/>
                <w:szCs w:val="21"/>
              </w:rPr>
            </w:pPr>
            <w:r>
              <w:rPr>
                <w:rFonts w:ascii="宋体" w:hAnsi="宋体" w:cs="宋体"/>
                <w:sz w:val="20"/>
                <w:szCs w:val="21"/>
              </w:rPr>
              <w:t>3、oracle OCP</w:t>
            </w:r>
            <w:r>
              <w:rPr>
                <w:rFonts w:hint="eastAsia" w:ascii="宋体" w:hAnsi="宋体" w:cs="宋体"/>
                <w:sz w:val="20"/>
                <w:szCs w:val="21"/>
              </w:rPr>
              <w:t>工程师加</w:t>
            </w:r>
            <w:r>
              <w:rPr>
                <w:rFonts w:ascii="宋体" w:hAnsi="宋体" w:cs="宋体"/>
                <w:sz w:val="20"/>
                <w:szCs w:val="21"/>
              </w:rPr>
              <w:t>1</w:t>
            </w:r>
            <w:r>
              <w:rPr>
                <w:rFonts w:hint="eastAsia" w:ascii="宋体" w:hAnsi="宋体" w:cs="宋体"/>
                <w:sz w:val="20"/>
                <w:szCs w:val="21"/>
              </w:rPr>
              <w:t>分；</w:t>
            </w:r>
          </w:p>
          <w:p>
            <w:pPr>
              <w:pStyle w:val="8"/>
              <w:ind w:firstLine="0" w:firstLineChars="0"/>
              <w:rPr>
                <w:rFonts w:ascii="宋体" w:hAnsi="宋体" w:cs="宋体"/>
                <w:sz w:val="20"/>
                <w:szCs w:val="21"/>
              </w:rPr>
            </w:pPr>
            <w:r>
              <w:rPr>
                <w:rFonts w:ascii="宋体" w:hAnsi="宋体" w:cs="宋体"/>
                <w:sz w:val="20"/>
                <w:szCs w:val="21"/>
              </w:rPr>
              <w:t>4、</w:t>
            </w:r>
            <w:r>
              <w:rPr>
                <w:rFonts w:hint="eastAsia" w:ascii="宋体" w:hAnsi="宋体" w:cs="宋体"/>
                <w:sz w:val="20"/>
                <w:szCs w:val="21"/>
              </w:rPr>
              <w:t>天融信或启明星辰或网御神州安全厂商认证工程师加</w:t>
            </w:r>
            <w:r>
              <w:rPr>
                <w:rFonts w:ascii="宋体" w:hAnsi="宋体" w:cs="宋体"/>
                <w:sz w:val="20"/>
                <w:szCs w:val="21"/>
              </w:rPr>
              <w:t>1</w:t>
            </w:r>
            <w:r>
              <w:rPr>
                <w:rFonts w:hint="eastAsia" w:ascii="宋体" w:hAnsi="宋体" w:cs="宋体"/>
                <w:sz w:val="20"/>
                <w:szCs w:val="21"/>
              </w:rPr>
              <w:t>分；</w:t>
            </w:r>
          </w:p>
          <w:p>
            <w:pPr>
              <w:pStyle w:val="8"/>
              <w:ind w:firstLine="14" w:firstLineChars="7"/>
              <w:rPr>
                <w:rFonts w:ascii="宋体" w:hAnsi="宋体" w:cs="宋体"/>
                <w:sz w:val="20"/>
                <w:szCs w:val="21"/>
              </w:rPr>
            </w:pPr>
            <w:r>
              <w:rPr>
                <w:rFonts w:ascii="宋体" w:hAnsi="宋体" w:cs="宋体"/>
                <w:sz w:val="20"/>
                <w:szCs w:val="21"/>
              </w:rPr>
              <w:t>5</w:t>
            </w:r>
            <w:r>
              <w:rPr>
                <w:rFonts w:hint="eastAsia" w:ascii="宋体" w:hAnsi="宋体" w:cs="宋体"/>
                <w:sz w:val="20"/>
                <w:szCs w:val="21"/>
              </w:rPr>
              <w:t>、华为或</w:t>
            </w:r>
            <w:r>
              <w:rPr>
                <w:rFonts w:ascii="宋体" w:hAnsi="宋体" w:cs="宋体"/>
                <w:sz w:val="20"/>
                <w:szCs w:val="21"/>
              </w:rPr>
              <w:t>H3CSE</w:t>
            </w:r>
            <w:r>
              <w:rPr>
                <w:rFonts w:hint="eastAsia" w:ascii="宋体" w:hAnsi="宋体" w:cs="宋体"/>
                <w:sz w:val="20"/>
                <w:szCs w:val="21"/>
              </w:rPr>
              <w:t>或</w:t>
            </w:r>
            <w:r>
              <w:rPr>
                <w:rFonts w:ascii="宋体" w:hAnsi="宋体" w:cs="宋体"/>
                <w:sz w:val="20"/>
                <w:szCs w:val="21"/>
              </w:rPr>
              <w:t>CCNP</w:t>
            </w:r>
            <w:r>
              <w:rPr>
                <w:rFonts w:hint="eastAsia" w:ascii="宋体" w:hAnsi="宋体" w:cs="宋体"/>
                <w:sz w:val="20"/>
                <w:szCs w:val="21"/>
              </w:rPr>
              <w:t>网络认证工程师加</w:t>
            </w:r>
            <w:r>
              <w:rPr>
                <w:rFonts w:ascii="宋体" w:hAnsi="宋体" w:cs="宋体"/>
                <w:sz w:val="20"/>
                <w:szCs w:val="21"/>
              </w:rPr>
              <w:t>1</w:t>
            </w:r>
            <w:r>
              <w:rPr>
                <w:rFonts w:hint="eastAsia" w:ascii="宋体" w:hAnsi="宋体" w:cs="宋体"/>
                <w:sz w:val="2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0" w:hRule="atLeast"/>
        </w:trPr>
        <w:tc>
          <w:tcPr>
            <w:tcW w:w="1176" w:type="dxa"/>
            <w:vAlign w:val="center"/>
          </w:tcPr>
          <w:p>
            <w:pPr>
              <w:rPr>
                <w:sz w:val="24"/>
              </w:rPr>
            </w:pPr>
            <w:r>
              <w:rPr>
                <w:rFonts w:hint="eastAsia"/>
                <w:sz w:val="24"/>
              </w:rPr>
              <w:t>2.2.4(2)</w:t>
            </w:r>
          </w:p>
        </w:tc>
        <w:tc>
          <w:tcPr>
            <w:tcW w:w="744" w:type="dxa"/>
            <w:vAlign w:val="center"/>
          </w:tcPr>
          <w:p>
            <w:pPr>
              <w:rPr>
                <w:sz w:val="24"/>
              </w:rPr>
            </w:pPr>
            <w:r>
              <w:rPr>
                <w:rFonts w:hint="eastAsia"/>
                <w:sz w:val="24"/>
              </w:rPr>
              <w:t>评标价</w:t>
            </w:r>
          </w:p>
        </w:tc>
        <w:tc>
          <w:tcPr>
            <w:tcW w:w="962" w:type="dxa"/>
            <w:vAlign w:val="center"/>
          </w:tcPr>
          <w:p>
            <w:pPr>
              <w:rPr>
                <w:sz w:val="24"/>
              </w:rPr>
            </w:pPr>
            <w:r>
              <w:rPr>
                <w:sz w:val="24"/>
              </w:rPr>
              <w:t>5</w:t>
            </w:r>
            <w:r>
              <w:rPr>
                <w:rFonts w:hint="eastAsia"/>
                <w:sz w:val="24"/>
              </w:rPr>
              <w:t>0分</w:t>
            </w:r>
          </w:p>
        </w:tc>
        <w:tc>
          <w:tcPr>
            <w:tcW w:w="11089" w:type="dxa"/>
            <w:gridSpan w:val="3"/>
            <w:vAlign w:val="center"/>
          </w:tcPr>
          <w:p>
            <w:pPr>
              <w:rPr>
                <w:sz w:val="23"/>
                <w:szCs w:val="23"/>
              </w:rPr>
            </w:pPr>
            <w:r>
              <w:rPr>
                <w:sz w:val="23"/>
                <w:szCs w:val="23"/>
              </w:rPr>
              <w:t>评标价得分计算公式示例：</w:t>
            </w:r>
          </w:p>
          <w:p>
            <w:pPr>
              <w:rPr>
                <w:sz w:val="23"/>
                <w:szCs w:val="23"/>
              </w:rPr>
            </w:pPr>
            <w:r>
              <w:rPr>
                <w:sz w:val="23"/>
                <w:szCs w:val="23"/>
              </w:rPr>
              <w:t>(1)如果投标人的评标价&gt;评标基准价，则评标价得分＝F</w:t>
            </w:r>
            <w:r>
              <w:rPr>
                <w:rFonts w:hint="eastAsia"/>
                <w:sz w:val="23"/>
                <w:szCs w:val="23"/>
              </w:rPr>
              <w:t>-|</w:t>
            </w:r>
            <w:r>
              <w:rPr>
                <w:sz w:val="23"/>
                <w:szCs w:val="23"/>
              </w:rPr>
              <w:t>偏差</w:t>
            </w:r>
            <w:r>
              <w:rPr>
                <w:rFonts w:hint="eastAsia"/>
                <w:sz w:val="23"/>
                <w:szCs w:val="23"/>
              </w:rPr>
              <w:t>率|×100×E1</w:t>
            </w:r>
            <w:r>
              <w:rPr>
                <w:sz w:val="23"/>
                <w:szCs w:val="23"/>
              </w:rPr>
              <w:t>；</w:t>
            </w:r>
          </w:p>
          <w:p>
            <w:pPr>
              <w:rPr>
                <w:sz w:val="23"/>
                <w:szCs w:val="23"/>
              </w:rPr>
            </w:pPr>
            <w:r>
              <w:rPr>
                <w:sz w:val="23"/>
                <w:szCs w:val="23"/>
              </w:rPr>
              <w:t>(2)如果投标人的评标价≤评标基准价，则评标价得分＝F+</w:t>
            </w:r>
            <w:r>
              <w:rPr>
                <w:rFonts w:hint="eastAsia"/>
                <w:sz w:val="23"/>
                <w:szCs w:val="23"/>
              </w:rPr>
              <w:t>|</w:t>
            </w:r>
            <w:r>
              <w:rPr>
                <w:sz w:val="23"/>
                <w:szCs w:val="23"/>
              </w:rPr>
              <w:t>偏差</w:t>
            </w:r>
            <w:r>
              <w:rPr>
                <w:rFonts w:hint="eastAsia"/>
                <w:sz w:val="23"/>
                <w:szCs w:val="23"/>
              </w:rPr>
              <w:t>率|×100×E2</w:t>
            </w:r>
            <w:r>
              <w:rPr>
                <w:sz w:val="23"/>
                <w:szCs w:val="23"/>
              </w:rPr>
              <w:t>。</w:t>
            </w:r>
          </w:p>
          <w:p>
            <w:pPr>
              <w:rPr>
                <w:sz w:val="24"/>
              </w:rPr>
            </w:pPr>
            <w:r>
              <w:rPr>
                <w:sz w:val="23"/>
                <w:szCs w:val="23"/>
              </w:rPr>
              <w:t>其中F＝45，即投标报价等于评标基准价时</w:t>
            </w:r>
            <w:r>
              <w:rPr>
                <w:rFonts w:hint="eastAsia"/>
                <w:sz w:val="23"/>
                <w:szCs w:val="23"/>
              </w:rPr>
              <w:t>得</w:t>
            </w:r>
            <w:r>
              <w:rPr>
                <w:sz w:val="23"/>
                <w:szCs w:val="23"/>
              </w:rPr>
              <w:t>45</w:t>
            </w:r>
            <w:r>
              <w:rPr>
                <w:rFonts w:hint="eastAsia"/>
                <w:sz w:val="23"/>
                <w:szCs w:val="23"/>
              </w:rPr>
              <w:t>分，</w:t>
            </w:r>
            <w:r>
              <w:rPr>
                <w:sz w:val="23"/>
                <w:szCs w:val="23"/>
              </w:rPr>
              <w:t>E1=0.25</w:t>
            </w:r>
            <w:r>
              <w:rPr>
                <w:rFonts w:hint="eastAsia"/>
                <w:sz w:val="23"/>
                <w:szCs w:val="23"/>
              </w:rPr>
              <w:t>，</w:t>
            </w:r>
            <w:r>
              <w:rPr>
                <w:sz w:val="23"/>
                <w:szCs w:val="23"/>
              </w:rPr>
              <w:t>E2=0.25</w:t>
            </w:r>
            <w:r>
              <w:rPr>
                <w:rFonts w:hint="eastAsia"/>
                <w:sz w:val="23"/>
                <w:szCs w:val="23"/>
              </w:rPr>
              <w:t>，评标价每高于评标基准价的</w:t>
            </w:r>
            <w:r>
              <w:rPr>
                <w:sz w:val="23"/>
                <w:szCs w:val="23"/>
              </w:rPr>
              <w:t>1%</w:t>
            </w:r>
            <w:r>
              <w:rPr>
                <w:rFonts w:hint="eastAsia"/>
                <w:sz w:val="23"/>
                <w:szCs w:val="23"/>
              </w:rPr>
              <w:t>扣</w:t>
            </w:r>
            <w:r>
              <w:rPr>
                <w:sz w:val="23"/>
                <w:szCs w:val="23"/>
              </w:rPr>
              <w:t>0.25</w:t>
            </w:r>
            <w:r>
              <w:rPr>
                <w:rFonts w:hint="eastAsia"/>
                <w:sz w:val="23"/>
                <w:szCs w:val="23"/>
              </w:rPr>
              <w:t>分、评标价每低于评标基准价的</w:t>
            </w:r>
            <w:r>
              <w:rPr>
                <w:sz w:val="23"/>
                <w:szCs w:val="23"/>
              </w:rPr>
              <w:t>1%</w:t>
            </w:r>
            <w:r>
              <w:rPr>
                <w:rFonts w:hint="eastAsia"/>
                <w:sz w:val="23"/>
                <w:szCs w:val="23"/>
              </w:rPr>
              <w:t>加</w:t>
            </w:r>
            <w:r>
              <w:rPr>
                <w:sz w:val="23"/>
                <w:szCs w:val="23"/>
              </w:rPr>
              <w:t>0.25</w:t>
            </w:r>
            <w:r>
              <w:rPr>
                <w:rFonts w:hint="eastAsia"/>
                <w:sz w:val="23"/>
                <w:szCs w:val="23"/>
              </w:rPr>
              <w:t>分。最高得分为</w:t>
            </w:r>
            <w:r>
              <w:rPr>
                <w:sz w:val="23"/>
                <w:szCs w:val="23"/>
              </w:rPr>
              <w:t>5</w:t>
            </w:r>
            <w:r>
              <w:rPr>
                <w:rFonts w:hint="eastAsia"/>
                <w:sz w:val="23"/>
                <w:szCs w:val="23"/>
              </w:rPr>
              <w:t>0分，最低得分为0分，内插计算。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13971" w:type="dxa"/>
            <w:gridSpan w:val="6"/>
            <w:vAlign w:val="center"/>
          </w:tcPr>
          <w:p>
            <w:pPr>
              <w:rPr>
                <w:sz w:val="24"/>
              </w:rPr>
            </w:pPr>
            <w:r>
              <w:rPr>
                <w:rFonts w:hint="eastAsia"/>
                <w:sz w:val="24"/>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13971" w:type="dxa"/>
            <w:gridSpan w:val="6"/>
            <w:vAlign w:val="center"/>
          </w:tcPr>
          <w:p>
            <w:pPr>
              <w:spacing w:line="400" w:lineRule="exact"/>
              <w:rPr>
                <w:sz w:val="24"/>
              </w:rPr>
            </w:pPr>
            <w:r>
              <w:rPr>
                <w:sz w:val="24"/>
              </w:rPr>
              <w:t>招标评标程序如下：</w:t>
            </w:r>
          </w:p>
          <w:p>
            <w:pPr>
              <w:spacing w:line="360" w:lineRule="atLeast"/>
              <w:rPr>
                <w:rFonts w:hAnsi="宋体"/>
                <w:sz w:val="24"/>
              </w:rPr>
            </w:pPr>
            <w:r>
              <w:rPr>
                <w:rFonts w:hint="eastAsia"/>
                <w:sz w:val="24"/>
              </w:rPr>
              <w:t>（1）</w:t>
            </w:r>
            <w:r>
              <w:rPr>
                <w:rFonts w:hint="eastAsia" w:hAnsi="宋体"/>
                <w:sz w:val="24"/>
              </w:rPr>
              <w:t>评标委员会首先对投标文件第一个信封（商务及技术文件）进行评审，并对通过评审的投标文件第一个信封（商务及技术文件）进行综合评分，并按照得分由高到低的顺序排序。各投标人得分以评标委员会各成员打分合计值的平均值确定(保留小数点后2位，第3位四舍五入)，该平均值以去掉一个最高分和一个最低分计算。</w:t>
            </w:r>
          </w:p>
          <w:p>
            <w:pPr>
              <w:spacing w:line="400" w:lineRule="exact"/>
              <w:rPr>
                <w:sz w:val="24"/>
              </w:rPr>
            </w:pPr>
            <w:r>
              <w:rPr>
                <w:rFonts w:hint="eastAsia"/>
                <w:sz w:val="24"/>
              </w:rPr>
              <w:t>（</w:t>
            </w:r>
            <w:r>
              <w:rPr>
                <w:sz w:val="24"/>
              </w:rPr>
              <w:t>3</w:t>
            </w:r>
            <w:r>
              <w:rPr>
                <w:rFonts w:hint="eastAsia"/>
                <w:sz w:val="24"/>
              </w:rPr>
              <w:t>）招标人按照第二章“投标人须知”第5.2.4项的规定对通过投标文件第一信封（商务文件和技术文件）评审的投标人第二信封（报价文件）进行开启。</w:t>
            </w:r>
          </w:p>
          <w:p>
            <w:pPr>
              <w:spacing w:line="400" w:lineRule="exact"/>
              <w:rPr>
                <w:sz w:val="24"/>
              </w:rPr>
            </w:pPr>
            <w:r>
              <w:rPr>
                <w:rFonts w:hint="eastAsia"/>
                <w:sz w:val="24"/>
              </w:rPr>
              <w:t>（4）评标委员会对已开启的投标文件第二信封（报价文件）进行评审及综合评分，各投标人的综合得分为商务和技术得分与报价得分之和。按照综合得分由高到低的顺序，评标委员会对投标人进行排名，并推荐中标候选人。</w:t>
            </w:r>
            <w:r>
              <w:rPr>
                <w:sz w:val="24"/>
              </w:rPr>
              <w:t>综合评分相等时，以投标报价低的优先；投标报价也相等的，招标人</w:t>
            </w:r>
            <w:r>
              <w:rPr>
                <w:rFonts w:hint="eastAsia"/>
                <w:sz w:val="24"/>
              </w:rPr>
              <w:t>按商务与技术得分从高到低或其他方法</w:t>
            </w:r>
            <w:r>
              <w:rPr>
                <w:sz w:val="24"/>
              </w:rPr>
              <w:t>确定第一中标候选人。</w:t>
            </w:r>
          </w:p>
          <w:p>
            <w:pPr>
              <w:spacing w:line="400" w:lineRule="exact"/>
              <w:rPr>
                <w:sz w:val="24"/>
              </w:rPr>
            </w:pPr>
            <w:r>
              <w:rPr>
                <w:rFonts w:hint="eastAsia"/>
                <w:sz w:val="24"/>
              </w:rPr>
              <w:t>（5）</w:t>
            </w:r>
            <w:r>
              <w:rPr>
                <w:rFonts w:hint="eastAsia" w:hAnsi="宋体" w:cs="宋体"/>
                <w:sz w:val="24"/>
              </w:rPr>
              <w:t>评标委员会对投标文件进行评审后，因有效投标不足3个使得投标明显缺乏竞争的，可以否决全部投标。未否决全部投标的，评标委员会应当按照《公路工程建设项目招标投标管理办法》（交通运输部令2015年第24号）第五十一条的规定在评标报告中阐明理由并推荐中标候选人。</w:t>
            </w:r>
          </w:p>
          <w:p>
            <w:pPr>
              <w:spacing w:line="400" w:lineRule="exact"/>
              <w:rPr>
                <w:sz w:val="24"/>
              </w:rPr>
            </w:pPr>
          </w:p>
        </w:tc>
      </w:tr>
    </w:tbl>
    <w:p>
      <w:pPr>
        <w:snapToGrid w:val="0"/>
        <w:spacing w:line="360" w:lineRule="auto"/>
        <w:ind w:right="-10"/>
        <w:rPr>
          <w:rFonts w:hAnsi="宋体"/>
          <w:b/>
          <w:bCs/>
          <w:sz w:val="24"/>
        </w:rPr>
        <w:sectPr>
          <w:footnotePr>
            <w:numFmt w:val="decimalEnclosedCircleChinese"/>
            <w:numRestart w:val="eachPage"/>
          </w:footnotePr>
          <w:pgSz w:w="16838" w:h="11906" w:orient="landscape"/>
          <w:pgMar w:top="1304" w:right="1418" w:bottom="1588" w:left="1418" w:header="851" w:footer="851" w:gutter="0"/>
          <w:cols w:space="720" w:num="1"/>
          <w:docGrid w:type="linesAndChars" w:linePitch="312" w:charSpace="0"/>
        </w:sectPr>
      </w:pPr>
    </w:p>
    <w:p>
      <w:pPr>
        <w:snapToGrid w:val="0"/>
        <w:spacing w:line="360" w:lineRule="auto"/>
        <w:ind w:right="-10"/>
        <w:rPr>
          <w:rFonts w:hint="eastAsia" w:hAnsi="宋体"/>
          <w:b/>
          <w:bCs/>
          <w:sz w:val="24"/>
        </w:rPr>
      </w:pPr>
    </w:p>
    <w:p>
      <w:pPr>
        <w:pStyle w:val="3"/>
        <w:numPr>
          <w:ilvl w:val="0"/>
          <w:numId w:val="1"/>
        </w:numPr>
        <w:jc w:val="left"/>
        <w:rPr>
          <w:sz w:val="24"/>
          <w:szCs w:val="24"/>
        </w:rPr>
      </w:pPr>
      <w:bookmarkStart w:id="5" w:name="_Toc492571092"/>
      <w:r>
        <w:rPr>
          <w:rFonts w:hint="eastAsia"/>
          <w:sz w:val="24"/>
          <w:szCs w:val="24"/>
        </w:rPr>
        <w:t>评标办法正文</w:t>
      </w:r>
      <w:bookmarkEnd w:id="5"/>
    </w:p>
    <w:p>
      <w:pPr>
        <w:spacing w:line="360" w:lineRule="auto"/>
        <w:rPr>
          <w:rFonts w:hAnsi="宋体"/>
          <w:sz w:val="24"/>
        </w:rPr>
      </w:pPr>
      <w:r>
        <w:rPr>
          <w:rFonts w:hint="eastAsia" w:hAnsi="宋体"/>
          <w:sz w:val="24"/>
        </w:rPr>
        <w:t>1. 评标方法</w:t>
      </w:r>
    </w:p>
    <w:p>
      <w:pPr>
        <w:spacing w:line="360" w:lineRule="auto"/>
        <w:ind w:firstLine="480" w:firstLineChars="200"/>
        <w:rPr>
          <w:rFonts w:hAnsi="宋体"/>
          <w:sz w:val="24"/>
        </w:rPr>
      </w:pPr>
      <w:r>
        <w:rPr>
          <w:rFonts w:hint="eastAsia" w:hAnsi="宋体"/>
          <w:sz w:val="24"/>
        </w:rPr>
        <w:t>本次评标采用综合评分法。评标委员会对满足招标文件实质性要求的投标文件，按照本章第2.2款规定的评分标准进行打分，并按得分由高到低顺序推荐中标候选人，或根据招标人授权直接确定中标人，但投标报价低于其成本的除外。综合评分相等时，以投标报价低的优先；投标报价也相等的，招标人可采用被招标项目所在地省级交通运输主管部门评为较高信用等级的投标人优先或其他方法确定第一中标候选人。</w:t>
      </w:r>
    </w:p>
    <w:p>
      <w:pPr>
        <w:spacing w:line="360" w:lineRule="auto"/>
        <w:rPr>
          <w:rFonts w:hAnsi="宋体"/>
          <w:sz w:val="24"/>
        </w:rPr>
      </w:pPr>
      <w:r>
        <w:rPr>
          <w:rFonts w:hint="eastAsia" w:hAnsi="宋体"/>
          <w:sz w:val="24"/>
        </w:rPr>
        <w:t>2. 评审标准</w:t>
      </w:r>
    </w:p>
    <w:p>
      <w:pPr>
        <w:spacing w:line="360" w:lineRule="auto"/>
        <w:rPr>
          <w:rFonts w:hAnsi="宋体"/>
          <w:sz w:val="24"/>
        </w:rPr>
      </w:pPr>
      <w:r>
        <w:rPr>
          <w:rFonts w:hint="eastAsia" w:hAnsi="宋体"/>
          <w:sz w:val="24"/>
        </w:rPr>
        <w:t>2.1 初步评审标准</w:t>
      </w:r>
    </w:p>
    <w:p>
      <w:pPr>
        <w:spacing w:line="360" w:lineRule="auto"/>
        <w:rPr>
          <w:rFonts w:hAnsi="宋体"/>
          <w:sz w:val="24"/>
        </w:rPr>
      </w:pPr>
      <w:r>
        <w:rPr>
          <w:rFonts w:hint="eastAsia" w:hAnsi="宋体"/>
          <w:sz w:val="24"/>
        </w:rPr>
        <w:t>2.1.1 形式评审标准：见评标办法前附表。</w:t>
      </w:r>
    </w:p>
    <w:p>
      <w:pPr>
        <w:spacing w:line="360" w:lineRule="auto"/>
        <w:rPr>
          <w:rFonts w:hAnsi="宋体"/>
          <w:sz w:val="24"/>
        </w:rPr>
      </w:pPr>
      <w:r>
        <w:rPr>
          <w:rFonts w:hint="eastAsia" w:hAnsi="宋体"/>
          <w:sz w:val="24"/>
        </w:rPr>
        <w:t>2.1.2 资格评审标准：见评标办法前附表。</w:t>
      </w:r>
    </w:p>
    <w:p>
      <w:pPr>
        <w:spacing w:line="360" w:lineRule="auto"/>
        <w:rPr>
          <w:rFonts w:hAnsi="宋体"/>
          <w:sz w:val="24"/>
        </w:rPr>
      </w:pPr>
      <w:r>
        <w:rPr>
          <w:rFonts w:hint="eastAsia" w:hAnsi="宋体"/>
          <w:sz w:val="24"/>
        </w:rPr>
        <w:t>2.1.3 响应性评审标准：见评标办法前附表。</w:t>
      </w:r>
    </w:p>
    <w:p>
      <w:pPr>
        <w:spacing w:line="360" w:lineRule="auto"/>
        <w:rPr>
          <w:rFonts w:hAnsi="宋体"/>
          <w:sz w:val="24"/>
        </w:rPr>
      </w:pPr>
      <w:r>
        <w:rPr>
          <w:rFonts w:hint="eastAsia" w:hAnsi="宋体"/>
          <w:sz w:val="24"/>
        </w:rPr>
        <w:t>2.2 分值构成与评分标准</w:t>
      </w:r>
    </w:p>
    <w:p>
      <w:pPr>
        <w:spacing w:line="360" w:lineRule="auto"/>
        <w:rPr>
          <w:rFonts w:hAnsi="宋体"/>
          <w:sz w:val="24"/>
        </w:rPr>
      </w:pPr>
      <w:r>
        <w:rPr>
          <w:rFonts w:hint="eastAsia" w:hAnsi="宋体"/>
          <w:sz w:val="24"/>
        </w:rPr>
        <w:t>2.2.1 分值构成</w:t>
      </w:r>
    </w:p>
    <w:p>
      <w:pPr>
        <w:spacing w:line="360" w:lineRule="auto"/>
        <w:rPr>
          <w:rFonts w:hAnsi="宋体"/>
          <w:sz w:val="24"/>
        </w:rPr>
      </w:pPr>
      <w:r>
        <w:rPr>
          <w:rFonts w:hint="eastAsia" w:hAnsi="宋体"/>
          <w:sz w:val="24"/>
        </w:rPr>
        <w:t>分值构成：见评标办法前附表。</w:t>
      </w:r>
    </w:p>
    <w:p>
      <w:pPr>
        <w:spacing w:line="360" w:lineRule="auto"/>
        <w:rPr>
          <w:rFonts w:hAnsi="宋体"/>
          <w:sz w:val="24"/>
        </w:rPr>
      </w:pPr>
      <w:r>
        <w:rPr>
          <w:rFonts w:hint="eastAsia" w:hAnsi="宋体"/>
          <w:sz w:val="24"/>
        </w:rPr>
        <w:t>2.2.2 评标基准价计算</w:t>
      </w:r>
    </w:p>
    <w:p>
      <w:pPr>
        <w:spacing w:line="360" w:lineRule="auto"/>
        <w:rPr>
          <w:rFonts w:hAnsi="宋体"/>
          <w:sz w:val="24"/>
        </w:rPr>
      </w:pPr>
      <w:r>
        <w:rPr>
          <w:rFonts w:hint="eastAsia" w:hAnsi="宋体"/>
          <w:sz w:val="24"/>
        </w:rPr>
        <w:t>评标基准价计算方法：见评标办法前附表。</w:t>
      </w:r>
    </w:p>
    <w:p>
      <w:pPr>
        <w:spacing w:line="360" w:lineRule="auto"/>
        <w:rPr>
          <w:rFonts w:hAnsi="宋体"/>
          <w:sz w:val="24"/>
        </w:rPr>
      </w:pPr>
      <w:r>
        <w:rPr>
          <w:rFonts w:hint="eastAsia" w:hAnsi="宋体"/>
          <w:sz w:val="24"/>
        </w:rPr>
        <w:t>2.2.3 投标报价的偏差率计算</w:t>
      </w:r>
    </w:p>
    <w:p>
      <w:pPr>
        <w:spacing w:line="360" w:lineRule="auto"/>
        <w:rPr>
          <w:rFonts w:hAnsi="宋体"/>
          <w:sz w:val="24"/>
        </w:rPr>
      </w:pPr>
      <w:r>
        <w:rPr>
          <w:rFonts w:hint="eastAsia" w:hAnsi="宋体"/>
          <w:sz w:val="24"/>
        </w:rPr>
        <w:t>投标报价的偏差率计算公式：见评标办法前附表。</w:t>
      </w:r>
    </w:p>
    <w:p>
      <w:pPr>
        <w:spacing w:line="360" w:lineRule="auto"/>
        <w:rPr>
          <w:rFonts w:hAnsi="宋体"/>
          <w:sz w:val="24"/>
        </w:rPr>
      </w:pPr>
      <w:r>
        <w:rPr>
          <w:rFonts w:hint="eastAsia" w:hAnsi="宋体"/>
          <w:sz w:val="24"/>
        </w:rPr>
        <w:t>2.2.4 评分标准</w:t>
      </w:r>
    </w:p>
    <w:p>
      <w:pPr>
        <w:spacing w:line="360" w:lineRule="auto"/>
        <w:rPr>
          <w:rFonts w:hAnsi="宋体"/>
          <w:sz w:val="24"/>
        </w:rPr>
      </w:pPr>
      <w:r>
        <w:rPr>
          <w:rFonts w:hint="eastAsia" w:hAnsi="宋体"/>
          <w:sz w:val="24"/>
        </w:rPr>
        <w:t>技术分评分标准：见评标办法前附表。</w:t>
      </w:r>
    </w:p>
    <w:p>
      <w:pPr>
        <w:spacing w:line="360" w:lineRule="auto"/>
        <w:rPr>
          <w:rFonts w:hAnsi="宋体"/>
          <w:sz w:val="24"/>
        </w:rPr>
      </w:pPr>
      <w:r>
        <w:rPr>
          <w:rFonts w:hint="eastAsia" w:hAnsi="宋体"/>
          <w:sz w:val="24"/>
        </w:rPr>
        <w:t>3. 评标程序</w:t>
      </w:r>
    </w:p>
    <w:p>
      <w:pPr>
        <w:spacing w:line="360" w:lineRule="auto"/>
        <w:rPr>
          <w:rFonts w:hAnsi="宋体"/>
          <w:sz w:val="24"/>
        </w:rPr>
      </w:pPr>
      <w:r>
        <w:rPr>
          <w:rFonts w:hint="eastAsia" w:hAnsi="宋体"/>
          <w:sz w:val="24"/>
        </w:rPr>
        <w:t>3.1初步评审</w:t>
      </w:r>
    </w:p>
    <w:p>
      <w:pPr>
        <w:spacing w:line="360" w:lineRule="auto"/>
        <w:rPr>
          <w:rFonts w:hAnsi="宋体"/>
          <w:sz w:val="24"/>
        </w:rPr>
      </w:pPr>
      <w:r>
        <w:rPr>
          <w:rFonts w:hint="eastAsia" w:hAnsi="宋体"/>
          <w:sz w:val="24"/>
        </w:rPr>
        <w:t>3.1.1 评标委员会依据本章第2.1.1项、2.1.2项、第2.1.3项规定的评审标准对投标文件进行初步评审。有一项不符合评审标准的，作废标处理。</w:t>
      </w:r>
    </w:p>
    <w:p>
      <w:pPr>
        <w:spacing w:line="360" w:lineRule="auto"/>
        <w:rPr>
          <w:rFonts w:hAnsi="宋体"/>
          <w:sz w:val="24"/>
        </w:rPr>
      </w:pPr>
      <w:r>
        <w:rPr>
          <w:rFonts w:hint="eastAsia" w:hAnsi="宋体"/>
          <w:sz w:val="24"/>
        </w:rPr>
        <w:t>3.1.2 投标人有以下情形之一的，其投标作废标处理：</w:t>
      </w:r>
    </w:p>
    <w:p>
      <w:pPr>
        <w:spacing w:line="360" w:lineRule="auto"/>
        <w:rPr>
          <w:rFonts w:hAnsi="宋体"/>
          <w:sz w:val="24"/>
        </w:rPr>
      </w:pPr>
      <w:r>
        <w:rPr>
          <w:rFonts w:hint="eastAsia" w:hAnsi="宋体"/>
          <w:sz w:val="24"/>
        </w:rPr>
        <w:t>(1)串通投标或弄虚作假或有其他违法行为的；</w:t>
      </w:r>
    </w:p>
    <w:p>
      <w:pPr>
        <w:spacing w:line="360" w:lineRule="auto"/>
        <w:rPr>
          <w:rFonts w:hAnsi="宋体"/>
          <w:sz w:val="24"/>
        </w:rPr>
      </w:pPr>
      <w:r>
        <w:rPr>
          <w:rFonts w:hint="eastAsia" w:hAnsi="宋体"/>
          <w:sz w:val="24"/>
        </w:rPr>
        <w:t>(2)不按评标委员会要求澄清、说明或补正的。</w:t>
      </w:r>
    </w:p>
    <w:p>
      <w:pPr>
        <w:spacing w:line="360" w:lineRule="auto"/>
        <w:rPr>
          <w:rFonts w:hAnsi="宋体"/>
          <w:sz w:val="24"/>
        </w:rPr>
      </w:pPr>
      <w:r>
        <w:rPr>
          <w:rFonts w:hint="eastAsia" w:hAnsi="宋体"/>
          <w:sz w:val="24"/>
        </w:rPr>
        <w:t xml:space="preserve">3.1.3 投标报价有算术错误的，评标委员会按以下原则对投标报价进行修正，修正的价格经投标人书面确认后具有约束力。 </w:t>
      </w:r>
    </w:p>
    <w:p>
      <w:pPr>
        <w:spacing w:line="360" w:lineRule="auto"/>
        <w:rPr>
          <w:rFonts w:hAnsi="宋体"/>
          <w:sz w:val="24"/>
        </w:rPr>
      </w:pPr>
      <w:r>
        <w:rPr>
          <w:rFonts w:hint="eastAsia" w:hAnsi="宋体"/>
          <w:sz w:val="24"/>
        </w:rPr>
        <w:t>(1)投标文件中的大写金额与小写金额不一致的，以大写金额为准；</w:t>
      </w:r>
    </w:p>
    <w:p>
      <w:pPr>
        <w:spacing w:line="360" w:lineRule="auto"/>
        <w:rPr>
          <w:rFonts w:hAnsi="宋体"/>
          <w:sz w:val="24"/>
        </w:rPr>
      </w:pPr>
      <w:r>
        <w:rPr>
          <w:rFonts w:hint="eastAsia" w:hAnsi="宋体"/>
          <w:sz w:val="24"/>
        </w:rPr>
        <w:t>(2)总价金额与依据单价计算出的结果不一致的，以单价金额为准修正总价，但单价金额小数点有明显错误的除外；</w:t>
      </w:r>
    </w:p>
    <w:p>
      <w:pPr>
        <w:spacing w:line="360" w:lineRule="auto"/>
        <w:rPr>
          <w:rFonts w:hAnsi="宋体"/>
          <w:sz w:val="24"/>
        </w:rPr>
      </w:pPr>
      <w:r>
        <w:rPr>
          <w:rFonts w:hint="eastAsia" w:hAnsi="宋体"/>
          <w:sz w:val="24"/>
        </w:rPr>
        <w:t>(3)当单价与数量相乘不等于合价时，以单价计算为准，如果单价有明显的小数点位置差错，应以标出的合价为准，同时对单价予以修正；</w:t>
      </w:r>
    </w:p>
    <w:p>
      <w:pPr>
        <w:spacing w:line="360" w:lineRule="auto"/>
        <w:rPr>
          <w:rFonts w:hAnsi="宋体"/>
          <w:sz w:val="24"/>
        </w:rPr>
      </w:pPr>
      <w:r>
        <w:rPr>
          <w:rFonts w:hint="eastAsia" w:hAnsi="宋体"/>
          <w:sz w:val="24"/>
        </w:rPr>
        <w:t>(4)当各子目的合价累计不等于总价时，应以各子目合价累计数为准，修正总价。</w:t>
      </w:r>
    </w:p>
    <w:p>
      <w:pPr>
        <w:spacing w:line="360" w:lineRule="auto"/>
        <w:rPr>
          <w:rFonts w:hAnsi="宋体"/>
          <w:sz w:val="24"/>
        </w:rPr>
      </w:pPr>
      <w:r>
        <w:rPr>
          <w:rFonts w:hint="eastAsia" w:hAnsi="宋体"/>
          <w:sz w:val="24"/>
        </w:rPr>
        <w:t>3.1.4 投标报价汇总表、投标报价一览表、单价组成一览表中的投标报价有其他错误的，评标委员会按以下原则对投标报价进行修正，修正的价格经投标人书面确认后具有约束力。投标人不接受修正价格的，其投标作废标处理，并没收其投标担保。</w:t>
      </w:r>
    </w:p>
    <w:p>
      <w:pPr>
        <w:spacing w:line="360" w:lineRule="auto"/>
        <w:rPr>
          <w:rFonts w:hAnsi="宋体"/>
          <w:sz w:val="24"/>
        </w:rPr>
      </w:pPr>
      <w:r>
        <w:rPr>
          <w:rFonts w:hint="eastAsia" w:hAnsi="宋体"/>
          <w:sz w:val="24"/>
        </w:rPr>
        <w:t>(1) 在招标人给定的投标报价汇总表、投标报价一览表、单价组成一览表中漏报了某个工程子目的单价、合价或总额价，或所报单价、合价或总额价减少了报价范围，则漏报的工程子目单价、合价和总额价或单价、合价和总额价中减少的报价内容视为已含入其他工程子目的单价、合价和总额价之中。</w:t>
      </w:r>
    </w:p>
    <w:p>
      <w:pPr>
        <w:spacing w:line="360" w:lineRule="auto"/>
        <w:rPr>
          <w:rFonts w:hAnsi="宋体"/>
          <w:sz w:val="24"/>
        </w:rPr>
      </w:pPr>
      <w:r>
        <w:rPr>
          <w:rFonts w:hint="eastAsia" w:hAnsi="宋体"/>
          <w:sz w:val="24"/>
        </w:rPr>
        <w:t>(2)在招标人给定的投标报价汇总表、投标报价一览表、单价组成一览表中多报了某个工程子目的单价、合价或总额价，或所报单价、合价或总额价增加了报价范围，则从投标报价中扣除多报的工程子目报价或工程子目报价中增加了报价范围的部分报价。</w:t>
      </w:r>
    </w:p>
    <w:p>
      <w:pPr>
        <w:spacing w:line="360" w:lineRule="auto"/>
        <w:rPr>
          <w:rFonts w:hAnsi="宋体"/>
          <w:sz w:val="24"/>
        </w:rPr>
      </w:pPr>
      <w:r>
        <w:rPr>
          <w:rFonts w:hint="eastAsia" w:hAnsi="宋体"/>
          <w:sz w:val="24"/>
        </w:rPr>
        <w:t>(3)当单价与数量的乘积与合价(金额)虽然一致，但投标人修改了该子目的工程数量，则其合价按招标人给定的工程数量乘以投标人所报单价予以修正。</w:t>
      </w:r>
    </w:p>
    <w:p>
      <w:pPr>
        <w:spacing w:line="360" w:lineRule="auto"/>
        <w:rPr>
          <w:rFonts w:hAnsi="宋体"/>
          <w:sz w:val="24"/>
        </w:rPr>
      </w:pPr>
      <w:r>
        <w:rPr>
          <w:rFonts w:hint="eastAsia" w:hAnsi="宋体"/>
          <w:sz w:val="24"/>
        </w:rPr>
        <w:t>3.1.5 修正后的最终投标报价若超过投标控制价上限（如有），投标人的投标文件作废标处理。</w:t>
      </w:r>
    </w:p>
    <w:p>
      <w:pPr>
        <w:spacing w:line="360" w:lineRule="auto"/>
        <w:rPr>
          <w:rFonts w:hAnsi="宋体"/>
          <w:sz w:val="24"/>
        </w:rPr>
      </w:pPr>
      <w:r>
        <w:rPr>
          <w:rFonts w:hint="eastAsia" w:hAnsi="宋体"/>
          <w:sz w:val="24"/>
        </w:rPr>
        <w:t>3.1.6修正后的最终投标报价仅作为签订合同的一个依据。</w:t>
      </w:r>
    </w:p>
    <w:p>
      <w:pPr>
        <w:spacing w:line="360" w:lineRule="auto"/>
        <w:rPr>
          <w:rFonts w:hAnsi="宋体"/>
          <w:sz w:val="24"/>
        </w:rPr>
      </w:pPr>
      <w:r>
        <w:rPr>
          <w:rFonts w:hint="eastAsia" w:hAnsi="宋体"/>
          <w:sz w:val="24"/>
        </w:rPr>
        <w:t>3.2 详细评审</w:t>
      </w:r>
    </w:p>
    <w:p>
      <w:pPr>
        <w:spacing w:line="360" w:lineRule="auto"/>
        <w:rPr>
          <w:rFonts w:hAnsi="宋体"/>
          <w:sz w:val="24"/>
        </w:rPr>
      </w:pPr>
      <w:r>
        <w:rPr>
          <w:rFonts w:hint="eastAsia" w:hAnsi="宋体"/>
          <w:sz w:val="24"/>
        </w:rPr>
        <w:t>3.2.1 评标委员会按本章第2.2.1—2.2.4款规定的量化因素和分值进行打分，计算出综合得分并推荐中标候选人。</w:t>
      </w:r>
    </w:p>
    <w:p>
      <w:pPr>
        <w:spacing w:line="360" w:lineRule="auto"/>
        <w:rPr>
          <w:rFonts w:hAnsi="宋体"/>
          <w:sz w:val="24"/>
        </w:rPr>
      </w:pPr>
      <w:r>
        <w:rPr>
          <w:rFonts w:hint="eastAsia" w:hAnsi="宋体"/>
          <w:sz w:val="24"/>
        </w:rPr>
        <w:t>3.3 投标文件的澄清和补正</w:t>
      </w:r>
    </w:p>
    <w:p>
      <w:pPr>
        <w:spacing w:line="360" w:lineRule="auto"/>
        <w:rPr>
          <w:rFonts w:hAnsi="宋体"/>
          <w:sz w:val="24"/>
        </w:rPr>
      </w:pPr>
      <w:r>
        <w:rPr>
          <w:rFonts w:hint="eastAsia" w:hAnsi="宋体"/>
          <w:sz w:val="24"/>
        </w:rPr>
        <w:t>3.3.1在评标过程中，评标委员会可以书面形式要求投标人对所提交投标文件中不明确的内容进行书面澄清或说明，或者对细微偏差进行补正。评标委员会不接受投标人主动提出的澄清、说明或补正。</w:t>
      </w:r>
    </w:p>
    <w:p>
      <w:pPr>
        <w:spacing w:line="360" w:lineRule="auto"/>
        <w:rPr>
          <w:rFonts w:hAnsi="宋体"/>
          <w:sz w:val="24"/>
        </w:rPr>
      </w:pPr>
      <w:r>
        <w:rPr>
          <w:rFonts w:hint="eastAsia" w:hAnsi="宋体"/>
          <w:sz w:val="24"/>
        </w:rPr>
        <w:t>3.3.2 澄清、说明和补正不得改变投标文件的实质性内容(算术性错误修正的除外)。投标人的书面澄清、说明和补正属于投标文件的组成部分。</w:t>
      </w:r>
    </w:p>
    <w:p>
      <w:pPr>
        <w:spacing w:line="360" w:lineRule="auto"/>
        <w:rPr>
          <w:rFonts w:hAnsi="宋体"/>
          <w:sz w:val="24"/>
        </w:rPr>
      </w:pPr>
      <w:r>
        <w:rPr>
          <w:rFonts w:hint="eastAsia" w:hAnsi="宋体"/>
          <w:sz w:val="24"/>
        </w:rPr>
        <w:t>3.3.3评标委员会对投标人提交的澄清、说明或补正有疑问的，可以要求投标人进一步澄清、说明或补正，直至满足评标委员会的要求。</w:t>
      </w:r>
    </w:p>
    <w:p>
      <w:pPr>
        <w:spacing w:line="360" w:lineRule="auto"/>
        <w:rPr>
          <w:rFonts w:hAnsi="宋体"/>
          <w:sz w:val="24"/>
        </w:rPr>
      </w:pPr>
      <w:r>
        <w:rPr>
          <w:rFonts w:hint="eastAsia" w:hAnsi="宋体"/>
          <w:sz w:val="24"/>
        </w:rPr>
        <w:t>3.3.4 凡超出招标文件规定的或给发包人带来未曾要求的利益的变化、偏差或其他因素在评标时不予考虑。</w:t>
      </w:r>
    </w:p>
    <w:p>
      <w:pPr>
        <w:spacing w:line="360" w:lineRule="auto"/>
        <w:rPr>
          <w:rFonts w:hAnsi="宋体"/>
          <w:sz w:val="24"/>
        </w:rPr>
      </w:pPr>
      <w:r>
        <w:rPr>
          <w:rFonts w:hint="eastAsia" w:hAnsi="宋体"/>
          <w:sz w:val="24"/>
        </w:rPr>
        <w:t>3.4 评标结果</w:t>
      </w:r>
    </w:p>
    <w:p>
      <w:pPr>
        <w:spacing w:line="360" w:lineRule="auto"/>
        <w:rPr>
          <w:rFonts w:hAnsi="宋体"/>
          <w:sz w:val="24"/>
        </w:rPr>
      </w:pPr>
      <w:r>
        <w:rPr>
          <w:rFonts w:hint="eastAsia" w:hAnsi="宋体"/>
          <w:sz w:val="24"/>
        </w:rPr>
        <w:t>3.4.1评标委员会采用综合评分法进行评分，按投标人综合得分由高到低的顺序，依次推荐前1-3名投标人为中标候选人（当综合得分相等时，以投标价较低者优先）。</w:t>
      </w:r>
    </w:p>
    <w:p>
      <w:pPr>
        <w:spacing w:line="360" w:lineRule="auto"/>
        <w:rPr>
          <w:rFonts w:hAnsi="宋体"/>
          <w:sz w:val="24"/>
        </w:rPr>
      </w:pPr>
      <w:r>
        <w:rPr>
          <w:rFonts w:hint="eastAsia" w:hAnsi="宋体"/>
          <w:sz w:val="24"/>
        </w:rPr>
        <w:t>3.4.2出现下列特殊情况，招标人可重新招标：</w:t>
      </w:r>
    </w:p>
    <w:p>
      <w:pPr>
        <w:spacing w:line="360" w:lineRule="auto"/>
        <w:rPr>
          <w:rFonts w:hAnsi="宋体"/>
          <w:sz w:val="24"/>
        </w:rPr>
      </w:pPr>
      <w:r>
        <w:rPr>
          <w:rFonts w:hint="eastAsia" w:hAnsi="宋体"/>
          <w:sz w:val="24"/>
        </w:rPr>
        <w:t>(一)所有的投标文件均未通过初步评审，或投标缺乏竞争性；</w:t>
      </w:r>
    </w:p>
    <w:p>
      <w:pPr>
        <w:spacing w:line="360" w:lineRule="auto"/>
        <w:rPr>
          <w:rFonts w:hAnsi="宋体"/>
          <w:sz w:val="24"/>
        </w:rPr>
      </w:pPr>
      <w:r>
        <w:rPr>
          <w:rFonts w:hint="eastAsia" w:hAnsi="宋体"/>
          <w:sz w:val="24"/>
        </w:rPr>
        <w:t>(二)评标委员会推荐的中标候选人均不能与招标人签订合同。</w:t>
      </w:r>
    </w:p>
    <w:p>
      <w:pPr>
        <w:spacing w:line="360" w:lineRule="auto"/>
        <w:rPr>
          <w:rFonts w:hAnsi="宋体"/>
          <w:sz w:val="24"/>
        </w:rPr>
      </w:pPr>
      <w:r>
        <w:rPr>
          <w:rFonts w:hint="eastAsia" w:hAnsi="宋体"/>
          <w:sz w:val="24"/>
        </w:rPr>
        <w:t>3.4.3评标委员会完成评标后，应当向招标人提交书面评标报告。</w:t>
      </w:r>
    </w:p>
    <w:p>
      <w:pPr>
        <w:snapToGrid w:val="0"/>
        <w:spacing w:line="360" w:lineRule="auto"/>
        <w:ind w:right="-10"/>
        <w:rPr>
          <w:rFonts w:hint="eastAsia" w:hAnsi="宋体"/>
          <w:b/>
          <w:bCs/>
          <w:sz w:val="24"/>
        </w:rPr>
      </w:pPr>
    </w:p>
    <w:p>
      <w:pPr>
        <w:snapToGrid w:val="0"/>
        <w:spacing w:line="360" w:lineRule="auto"/>
        <w:ind w:right="-10"/>
        <w:rPr>
          <w:rFonts w:hint="eastAsia" w:hAnsi="宋体"/>
          <w:b/>
          <w:bCs/>
          <w:sz w:val="24"/>
        </w:rPr>
      </w:pPr>
    </w:p>
    <w:p>
      <w:pPr>
        <w:snapToGrid w:val="0"/>
        <w:spacing w:line="360" w:lineRule="auto"/>
        <w:ind w:right="-10"/>
        <w:rPr>
          <w:rFonts w:hint="eastAsia" w:hAnsi="宋体"/>
          <w:b/>
          <w:bCs/>
          <w:sz w:val="24"/>
        </w:rPr>
      </w:pPr>
    </w:p>
    <w:p>
      <w:pPr>
        <w:snapToGrid w:val="0"/>
        <w:spacing w:line="360" w:lineRule="auto"/>
        <w:ind w:right="-10"/>
        <w:rPr>
          <w:rFonts w:hint="eastAsia" w:hAnsi="宋体"/>
          <w:b/>
          <w:bCs/>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Arial Black">
    <w:panose1 w:val="020B0A04020102020204"/>
    <w:charset w:val="00"/>
    <w:family w:val="swiss"/>
    <w:pitch w:val="default"/>
    <w:sig w:usb0="00000287" w:usb1="00000000" w:usb2="00000000" w:usb3="00000000" w:csb0="2000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w:t>
                          </w:r>
                          <w:r>
                            <w:rPr>
                              <w:b/>
                              <w:bCs/>
                              <w:sz w:val="24"/>
                              <w:szCs w:val="24"/>
                            </w:rPr>
                            <w:fldChar w:fldCharType="end"/>
                          </w:r>
                          <w:r>
                            <w:rPr>
                              <w:lang w:val="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aspectratio="f"/>
              <v:textbox inset="0mm,0mm,0mm,0mm" style="mso-fit-shape-to-text:t;">
                <w:txbxContent>
                  <w:p>
                    <w:pPr>
                      <w:pStyle w:val="4"/>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w:t>
                    </w:r>
                    <w:r>
                      <w:rPr>
                        <w:b/>
                        <w:bCs/>
                        <w:sz w:val="24"/>
                        <w:szCs w:val="24"/>
                      </w:rPr>
                      <w:fldChar w:fldCharType="end"/>
                    </w:r>
                    <w:r>
                      <w:rPr>
                        <w:lang w:val="zh-CN"/>
                      </w:rPr>
                      <w:t xml:space="preserve"> </w:t>
                    </w:r>
                  </w:p>
                </w:txbxContent>
              </v:textbox>
            </v:shape>
          </w:pict>
        </mc:Fallback>
      </mc:AlternateConten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thinThickSmallGap" w:color="auto" w:sz="24" w:space="1"/>
        <w:right w:val="none" w:color="auto" w:sz="0" w:space="4"/>
      </w:pBdr>
      <w:spacing w:line="360" w:lineRule="exact"/>
      <w:jc w:val="both"/>
      <w:rPr>
        <w:rFonts w:hint="eastAsia" w:hAnsi="宋体" w:cs="宋体"/>
        <w:b w:val="0"/>
        <w:bCs w:val="0"/>
        <w:sz w:val="21"/>
        <w:szCs w:val="21"/>
        <w:lang w:val="en-GB"/>
      </w:rPr>
    </w:pPr>
    <w:bookmarkStart w:id="6" w:name="_GoBack"/>
    <w:r>
      <w:rPr>
        <w:rFonts w:hint="eastAsia" w:hAnsi="宋体" w:cs="宋体"/>
        <w:b w:val="0"/>
        <w:bCs w:val="0"/>
        <w:sz w:val="21"/>
        <w:szCs w:val="21"/>
        <w:lang w:val="en-GB"/>
      </w:rPr>
      <w:t>安徽高速融资租赁有限公司综合业务管理系统</w:t>
    </w:r>
    <w:r>
      <w:rPr>
        <w:rFonts w:hint="eastAsia" w:hAnsi="宋体" w:cs="宋体"/>
        <w:b w:val="0"/>
        <w:bCs w:val="0"/>
        <w:sz w:val="21"/>
        <w:szCs w:val="21"/>
      </w:rPr>
      <w:t xml:space="preserve">                               招标文件</w:t>
    </w:r>
  </w:p>
  <w:bookmarkEnd w:id="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F936B"/>
    <w:multiLevelType w:val="singleLevel"/>
    <w:tmpl w:val="566F936B"/>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5953D9"/>
    <w:rsid w:val="055953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textAlignment w:val="baseline"/>
    </w:pPr>
    <w:rPr>
      <w:rFonts w:ascii="宋体"/>
      <w:sz w:val="34"/>
      <w:szCs w:val="22"/>
      <w:lang w:val="en-US" w:eastAsia="zh-CN" w:bidi="ar-SA"/>
    </w:rPr>
  </w:style>
  <w:style w:type="paragraph" w:styleId="2">
    <w:name w:val="heading 2"/>
    <w:basedOn w:val="1"/>
    <w:next w:val="1"/>
    <w:unhideWhenUsed/>
    <w:qFormat/>
    <w:uiPriority w:val="0"/>
    <w:pPr>
      <w:keepNext/>
      <w:keepLines/>
      <w:autoSpaceDE/>
      <w:autoSpaceDN/>
      <w:snapToGrid w:val="0"/>
      <w:spacing w:before="240" w:after="120"/>
      <w:jc w:val="center"/>
      <w:textAlignment w:val="auto"/>
      <w:outlineLvl w:val="1"/>
    </w:pPr>
    <w:rPr>
      <w:rFonts w:ascii="Times New Roman" w:hAnsi="Arial"/>
      <w:b/>
      <w:kern w:val="2"/>
      <w:sz w:val="24"/>
    </w:rPr>
  </w:style>
  <w:style w:type="paragraph" w:styleId="3">
    <w:name w:val="heading 3"/>
    <w:basedOn w:val="1"/>
    <w:next w:val="1"/>
    <w:unhideWhenUsed/>
    <w:qFormat/>
    <w:uiPriority w:val="0"/>
    <w:pPr>
      <w:keepNext/>
      <w:keepLines/>
      <w:snapToGrid w:val="0"/>
      <w:spacing w:before="240" w:after="120" w:line="360" w:lineRule="auto"/>
      <w:jc w:val="center"/>
      <w:outlineLvl w:val="2"/>
    </w:pPr>
    <w:rPr>
      <w:rFonts w:ascii="Times New Roman"/>
      <w:b/>
      <w:sz w:val="32"/>
      <w:szCs w:val="32"/>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pPr>
    <w:rPr>
      <w:sz w:val="18"/>
    </w:rPr>
  </w:style>
  <w:style w:type="paragraph" w:customStyle="1" w:styleId="7">
    <w:name w:val="列出段落5"/>
    <w:basedOn w:val="1"/>
    <w:qFormat/>
    <w:uiPriority w:val="0"/>
    <w:pPr>
      <w:autoSpaceDE/>
      <w:autoSpaceDN/>
      <w:adjustRightInd/>
      <w:ind w:firstLine="420" w:firstLineChars="200"/>
      <w:jc w:val="both"/>
      <w:textAlignment w:val="auto"/>
    </w:pPr>
    <w:rPr>
      <w:rFonts w:ascii="Times New Roman"/>
      <w:kern w:val="2"/>
      <w:sz w:val="21"/>
      <w:szCs w:val="24"/>
    </w:rPr>
  </w:style>
  <w:style w:type="paragraph" w:customStyle="1" w:styleId="8">
    <w:name w:val="列出段落6"/>
    <w:basedOn w:val="1"/>
    <w:qFormat/>
    <w:uiPriority w:val="99"/>
    <w:pPr>
      <w:autoSpaceDE/>
      <w:autoSpaceDN/>
      <w:adjustRightInd/>
      <w:ind w:firstLine="420" w:firstLineChars="200"/>
      <w:jc w:val="both"/>
      <w:textAlignment w:val="auto"/>
    </w:pPr>
    <w:rPr>
      <w:rFonts w:ascii="Times New Roman"/>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2017-09-14T03:05:00Z</dcterms:created>
  <dc:creator>yuyi</dc:creator>
  <cp:lastModifiedBy>yuyi</cp:lastModifiedBy>
  <dcterms:modified xsi:type="dcterms:W3CDTF">2017-09-14T03:06:20Z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